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AC213" w14:textId="16B2C977" w:rsidR="00FA4455" w:rsidRPr="00045B3A" w:rsidRDefault="00FA4455" w:rsidP="00286520">
      <w:pPr>
        <w:pStyle w:val="Header"/>
        <w:spacing w:line="360" w:lineRule="auto"/>
        <w:rPr>
          <w:sz w:val="24"/>
          <w:lang w:val="en-US"/>
        </w:rPr>
      </w:pPr>
      <w:r w:rsidRPr="00045B3A">
        <w:rPr>
          <w:sz w:val="24"/>
          <w:lang w:val="en-US"/>
        </w:rPr>
        <w:t>3GPP TSG-RAN WG2 Meeting #1</w:t>
      </w:r>
      <w:r>
        <w:rPr>
          <w:sz w:val="24"/>
          <w:lang w:val="en-US"/>
        </w:rPr>
        <w:t>31</w:t>
      </w:r>
      <w:r>
        <w:rPr>
          <w:sz w:val="24"/>
          <w:lang w:val="en-US"/>
        </w:rPr>
        <w:tab/>
      </w:r>
      <w:r>
        <w:rPr>
          <w:sz w:val="24"/>
          <w:lang w:val="en-US"/>
        </w:rPr>
        <w:tab/>
      </w:r>
      <w:r>
        <w:rPr>
          <w:sz w:val="24"/>
          <w:lang w:val="en-US"/>
        </w:rPr>
        <w:tab/>
      </w:r>
      <w:r>
        <w:rPr>
          <w:sz w:val="24"/>
          <w:lang w:val="en-US"/>
        </w:rPr>
        <w:tab/>
        <w:t xml:space="preserve">               </w:t>
      </w:r>
      <w:r w:rsidRPr="00045B3A">
        <w:rPr>
          <w:sz w:val="24"/>
          <w:lang w:val="en-US"/>
        </w:rPr>
        <w:t>R2-250</w:t>
      </w:r>
      <w:r w:rsidR="005E772F">
        <w:rPr>
          <w:sz w:val="24"/>
          <w:lang w:val="en-US"/>
        </w:rPr>
        <w:t>5254</w:t>
      </w:r>
    </w:p>
    <w:p w14:paraId="72241E5A" w14:textId="77777777" w:rsidR="00FA4455" w:rsidRPr="00045B3A" w:rsidRDefault="00FA4455" w:rsidP="00286520">
      <w:pPr>
        <w:pStyle w:val="Header"/>
        <w:spacing w:line="360" w:lineRule="auto"/>
        <w:rPr>
          <w:sz w:val="24"/>
          <w:lang w:val="en-US"/>
        </w:rPr>
      </w:pPr>
      <w:r w:rsidRPr="007672D9">
        <w:rPr>
          <w:sz w:val="24"/>
          <w:lang w:val="en-US"/>
        </w:rPr>
        <w:t>Bengaluru</w:t>
      </w:r>
      <w:r w:rsidRPr="00045B3A">
        <w:rPr>
          <w:sz w:val="24"/>
          <w:lang w:val="en-US"/>
        </w:rPr>
        <w:t xml:space="preserve">, </w:t>
      </w:r>
      <w:r>
        <w:rPr>
          <w:sz w:val="24"/>
          <w:lang w:val="en-US"/>
        </w:rPr>
        <w:t>India</w:t>
      </w:r>
      <w:r w:rsidRPr="00045B3A">
        <w:rPr>
          <w:sz w:val="24"/>
          <w:lang w:val="en-US"/>
        </w:rPr>
        <w:t>,</w:t>
      </w:r>
      <w:r>
        <w:rPr>
          <w:sz w:val="24"/>
          <w:lang w:val="en-US"/>
        </w:rPr>
        <w:t xml:space="preserve"> August</w:t>
      </w:r>
      <w:r w:rsidRPr="00045B3A">
        <w:rPr>
          <w:sz w:val="24"/>
          <w:lang w:val="en-US"/>
        </w:rPr>
        <w:t xml:space="preserve"> </w:t>
      </w:r>
      <w:r>
        <w:rPr>
          <w:sz w:val="24"/>
          <w:lang w:val="en-US"/>
        </w:rPr>
        <w:t>25</w:t>
      </w:r>
      <w:r w:rsidRPr="00045B3A">
        <w:rPr>
          <w:sz w:val="24"/>
          <w:vertAlign w:val="superscript"/>
          <w:lang w:val="en-US"/>
        </w:rPr>
        <w:t>th</w:t>
      </w:r>
      <w:r w:rsidRPr="00045B3A">
        <w:rPr>
          <w:sz w:val="24"/>
          <w:lang w:val="en-US"/>
        </w:rPr>
        <w:t xml:space="preserve"> – 2</w:t>
      </w:r>
      <w:r>
        <w:rPr>
          <w:sz w:val="24"/>
          <w:lang w:val="en-US"/>
        </w:rPr>
        <w:t>9</w:t>
      </w:r>
      <w:r>
        <w:rPr>
          <w:sz w:val="24"/>
          <w:vertAlign w:val="superscript"/>
          <w:lang w:val="en-US"/>
        </w:rPr>
        <w:t>th</w:t>
      </w:r>
      <w:r w:rsidRPr="00045B3A">
        <w:rPr>
          <w:sz w:val="24"/>
          <w:lang w:val="en-US"/>
        </w:rPr>
        <w:t xml:space="preserve"> , 2025</w:t>
      </w:r>
    </w:p>
    <w:p w14:paraId="08664EDD" w14:textId="632A7865" w:rsidR="008E6CE3" w:rsidRPr="004B55E3" w:rsidRDefault="008E6CE3" w:rsidP="00286520">
      <w:pPr>
        <w:tabs>
          <w:tab w:val="left" w:pos="1985"/>
        </w:tabs>
        <w:spacing w:after="0" w:line="360" w:lineRule="auto"/>
        <w:rPr>
          <w:rFonts w:ascii="Arial" w:hAnsi="Arial"/>
          <w:b/>
          <w:sz w:val="24"/>
        </w:rPr>
      </w:pPr>
      <w:r w:rsidRPr="004B55E3">
        <w:rPr>
          <w:rFonts w:ascii="Arial" w:hAnsi="Arial"/>
          <w:b/>
          <w:sz w:val="24"/>
        </w:rPr>
        <w:t>Agenda item:</w:t>
      </w:r>
      <w:r w:rsidRPr="004B55E3">
        <w:rPr>
          <w:rFonts w:ascii="Arial" w:hAnsi="Arial"/>
          <w:b/>
          <w:sz w:val="24"/>
        </w:rPr>
        <w:tab/>
      </w:r>
      <w:bookmarkStart w:id="0" w:name="Source"/>
      <w:bookmarkEnd w:id="0"/>
      <w:r w:rsidR="00A33411">
        <w:rPr>
          <w:rFonts w:ascii="Arial" w:hAnsi="Arial"/>
          <w:b/>
          <w:sz w:val="24"/>
        </w:rPr>
        <w:t>8.5.2</w:t>
      </w:r>
    </w:p>
    <w:p w14:paraId="506FDCA0" w14:textId="77777777" w:rsidR="00C83473" w:rsidRDefault="008E6CE3" w:rsidP="00286520">
      <w:pPr>
        <w:tabs>
          <w:tab w:val="left" w:pos="1985"/>
        </w:tabs>
        <w:spacing w:after="0" w:line="360" w:lineRule="auto"/>
        <w:rPr>
          <w:rFonts w:ascii="Arial" w:hAnsi="Arial"/>
          <w:b/>
          <w:sz w:val="24"/>
        </w:rPr>
      </w:pPr>
      <w:r w:rsidRPr="004B55E3">
        <w:rPr>
          <w:rFonts w:ascii="Arial" w:hAnsi="Arial"/>
          <w:b/>
          <w:sz w:val="24"/>
        </w:rPr>
        <w:t>Source:</w:t>
      </w:r>
      <w:r w:rsidRPr="004B55E3">
        <w:rPr>
          <w:rFonts w:ascii="Arial" w:hAnsi="Arial"/>
          <w:b/>
          <w:sz w:val="24"/>
        </w:rPr>
        <w:tab/>
        <w:t>Samsung</w:t>
      </w:r>
    </w:p>
    <w:p w14:paraId="63A86B43" w14:textId="7669B5C9" w:rsidR="006751C8" w:rsidRPr="004B55E3" w:rsidRDefault="008E6CE3" w:rsidP="00286520">
      <w:pPr>
        <w:tabs>
          <w:tab w:val="left" w:pos="1985"/>
        </w:tabs>
        <w:spacing w:after="0" w:line="360" w:lineRule="auto"/>
        <w:rPr>
          <w:rFonts w:ascii="Arial" w:hAnsi="Arial"/>
          <w:b/>
          <w:sz w:val="24"/>
        </w:rPr>
      </w:pPr>
      <w:r w:rsidRPr="004B55E3">
        <w:rPr>
          <w:rFonts w:ascii="Arial" w:hAnsi="Arial"/>
          <w:b/>
          <w:sz w:val="24"/>
        </w:rPr>
        <w:t>Title:</w:t>
      </w:r>
      <w:r w:rsidRPr="004B55E3">
        <w:rPr>
          <w:rFonts w:ascii="Arial" w:hAnsi="Arial"/>
          <w:b/>
          <w:sz w:val="24"/>
        </w:rPr>
        <w:tab/>
      </w:r>
      <w:r w:rsidR="00411E7F" w:rsidRPr="004B55E3">
        <w:rPr>
          <w:rFonts w:ascii="Arial" w:hAnsi="Arial"/>
          <w:b/>
          <w:sz w:val="24"/>
        </w:rPr>
        <w:t>On-demand SSB SCell</w:t>
      </w:r>
      <w:r w:rsidR="004B55E3" w:rsidRPr="004B55E3">
        <w:rPr>
          <w:rFonts w:ascii="Arial" w:hAnsi="Arial"/>
          <w:b/>
          <w:sz w:val="24"/>
        </w:rPr>
        <w:t xml:space="preserve"> Operation</w:t>
      </w:r>
    </w:p>
    <w:p w14:paraId="3CDE6BAF" w14:textId="634EDE06" w:rsidR="008E6CE3" w:rsidRPr="004B55E3" w:rsidRDefault="008E6CE3" w:rsidP="00286520">
      <w:pPr>
        <w:tabs>
          <w:tab w:val="left" w:pos="1985"/>
        </w:tabs>
        <w:spacing w:after="0" w:line="360" w:lineRule="auto"/>
        <w:rPr>
          <w:rFonts w:ascii="Arial" w:hAnsi="Arial"/>
          <w:b/>
          <w:sz w:val="24"/>
        </w:rPr>
      </w:pPr>
      <w:r w:rsidRPr="004B55E3">
        <w:rPr>
          <w:rFonts w:ascii="Arial" w:hAnsi="Arial"/>
          <w:b/>
          <w:sz w:val="24"/>
        </w:rPr>
        <w:t>Document for:</w:t>
      </w:r>
      <w:r w:rsidRPr="004B55E3">
        <w:rPr>
          <w:rFonts w:ascii="Arial" w:hAnsi="Arial"/>
          <w:b/>
          <w:sz w:val="24"/>
        </w:rPr>
        <w:tab/>
      </w:r>
      <w:r w:rsidR="00AF0C3B" w:rsidRPr="004B55E3">
        <w:rPr>
          <w:rFonts w:ascii="Arial" w:hAnsi="Arial"/>
          <w:b/>
          <w:sz w:val="24"/>
        </w:rPr>
        <w:t>Discussion and D</w:t>
      </w:r>
      <w:r w:rsidRPr="004B55E3">
        <w:rPr>
          <w:rFonts w:ascii="Arial" w:hAnsi="Arial"/>
          <w:b/>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4C338A6A" w14:textId="77777777" w:rsidR="004B55E3" w:rsidRPr="004B55E3" w:rsidRDefault="004B55E3" w:rsidP="004B55E3">
      <w:pPr>
        <w:jc w:val="both"/>
        <w:rPr>
          <w:rFonts w:ascii="Arial" w:hAnsi="Arial" w:cs="Arial"/>
          <w:lang w:eastAsia="zh-CN"/>
        </w:rPr>
      </w:pPr>
      <w:r w:rsidRPr="004B55E3">
        <w:rPr>
          <w:rFonts w:ascii="Arial" w:hAnsi="Arial" w:cs="Arial"/>
          <w:lang w:eastAsia="zh-CN"/>
        </w:rPr>
        <w:t xml:space="preserve">The Rel-18 work item on network energy savings for NR specified techniques primarily for RRC Connected UEs such as </w:t>
      </w:r>
      <w:r w:rsidRPr="004B55E3">
        <w:rPr>
          <w:rFonts w:ascii="Arial" w:hAnsi="Arial" w:cs="Arial"/>
          <w:bCs/>
        </w:rPr>
        <w:t xml:space="preserve">SSB-less SCell operation, cell DTX/DRX mechanism, </w:t>
      </w:r>
      <w:r w:rsidRPr="004B55E3">
        <w:rPr>
          <w:rFonts w:ascii="Arial" w:hAnsi="Arial" w:cs="Arial"/>
          <w:bCs/>
          <w:lang w:eastAsia="zh-CN"/>
        </w:rPr>
        <w:t xml:space="preserve">mechanisms </w:t>
      </w:r>
      <w:r w:rsidRPr="004B55E3">
        <w:rPr>
          <w:rFonts w:ascii="Arial" w:hAnsi="Arial" w:cs="Arial"/>
          <w:bCs/>
        </w:rPr>
        <w:t>to prevent legacy UEs camping on cells adopting the Rel-18 NES techniques, CHO procedure enhancement(s) etc</w:t>
      </w:r>
      <w:r w:rsidRPr="004B55E3">
        <w:rPr>
          <w:rFonts w:ascii="Arial" w:hAnsi="Arial" w:cs="Arial"/>
          <w:lang w:eastAsia="zh-CN"/>
        </w:rPr>
        <w:t xml:space="preserve">. </w:t>
      </w:r>
    </w:p>
    <w:p w14:paraId="253B192B" w14:textId="3756396C" w:rsidR="008554CC" w:rsidRPr="004B55E3" w:rsidRDefault="004B55E3" w:rsidP="004B55E3">
      <w:pPr>
        <w:jc w:val="both"/>
        <w:rPr>
          <w:rFonts w:ascii="Arial" w:eastAsiaTheme="minorEastAsia" w:hAnsi="Arial" w:cs="Arial"/>
        </w:rPr>
      </w:pPr>
      <w:r w:rsidRPr="004B55E3">
        <w:rPr>
          <w:rFonts w:ascii="Arial" w:hAnsi="Arial" w:cs="Arial"/>
          <w:lang w:eastAsia="zh-CN"/>
        </w:rPr>
        <w:t>Rel-19 work item aims to specify further network energy savings techniques such as on-demand S</w:t>
      </w:r>
      <w:r>
        <w:rPr>
          <w:rFonts w:ascii="Arial" w:hAnsi="Arial" w:cs="Arial"/>
          <w:lang w:eastAsia="zh-CN"/>
        </w:rPr>
        <w:t>SB</w:t>
      </w:r>
      <w:bookmarkStart w:id="1" w:name="_GoBack"/>
      <w:bookmarkEnd w:id="1"/>
      <w:r>
        <w:rPr>
          <w:rFonts w:ascii="Arial" w:hAnsi="Arial" w:cs="Arial"/>
          <w:lang w:eastAsia="zh-CN"/>
        </w:rPr>
        <w:t xml:space="preserve"> for S</w:t>
      </w:r>
      <w:r w:rsidR="00D84C38">
        <w:rPr>
          <w:rFonts w:ascii="Arial" w:hAnsi="Arial" w:cs="Arial"/>
          <w:lang w:eastAsia="zh-CN"/>
        </w:rPr>
        <w:t>C</w:t>
      </w:r>
      <w:r>
        <w:rPr>
          <w:rFonts w:ascii="Arial" w:hAnsi="Arial" w:cs="Arial"/>
          <w:lang w:eastAsia="zh-CN"/>
        </w:rPr>
        <w:t>ell operation</w:t>
      </w:r>
      <w:r w:rsidRPr="004B55E3">
        <w:rPr>
          <w:rFonts w:ascii="Arial" w:hAnsi="Arial" w:cs="Arial"/>
          <w:lang w:eastAsia="zh-CN"/>
        </w:rPr>
        <w:t xml:space="preserve">. </w:t>
      </w:r>
      <w:r w:rsidRPr="004B55E3">
        <w:rPr>
          <w:rFonts w:ascii="Arial" w:eastAsiaTheme="minorEastAsia" w:hAnsi="Arial" w:cs="Arial"/>
        </w:rPr>
        <w:t>WID of Rel-19 network energy saving specifies the following objective for on-demand S</w:t>
      </w:r>
      <w:r>
        <w:rPr>
          <w:rFonts w:ascii="Arial" w:eastAsiaTheme="minorEastAsia" w:hAnsi="Arial" w:cs="Arial"/>
        </w:rPr>
        <w:t>SB SCell operation</w:t>
      </w:r>
      <w:r w:rsidRPr="004B55E3">
        <w:rPr>
          <w:rFonts w:ascii="Arial" w:eastAsiaTheme="minorEastAsia" w:hAnsi="Arial" w:cs="Arial"/>
        </w:rPr>
        <w:t>:</w:t>
      </w:r>
    </w:p>
    <w:p w14:paraId="67414DE0" w14:textId="625F32AF" w:rsidR="008554CC" w:rsidRPr="00427791" w:rsidRDefault="008554CC" w:rsidP="00DF7C11">
      <w:pPr>
        <w:numPr>
          <w:ilvl w:val="0"/>
          <w:numId w:val="39"/>
        </w:numPr>
        <w:overflowPunct w:val="0"/>
        <w:autoSpaceDE w:val="0"/>
        <w:autoSpaceDN w:val="0"/>
        <w:adjustRightInd w:val="0"/>
        <w:spacing w:after="0"/>
        <w:textAlignment w:val="baseline"/>
        <w:rPr>
          <w:rFonts w:ascii="Arial" w:hAnsi="Arial" w:cs="Arial"/>
          <w:bCs/>
          <w:lang w:eastAsia="zh-CN"/>
        </w:rPr>
      </w:pPr>
      <w:r w:rsidRPr="004B55E3">
        <w:rPr>
          <w:rFonts w:ascii="Arial" w:hAnsi="Arial" w:cs="Arial"/>
          <w:bCs/>
          <w:lang w:eastAsia="zh-CN"/>
        </w:rPr>
        <w:t>Specify procedures</w:t>
      </w:r>
      <w:r w:rsidRPr="004B55E3">
        <w:rPr>
          <w:rFonts w:ascii="Arial" w:hAnsi="Arial" w:cs="Arial"/>
        </w:rPr>
        <w:t xml:space="preserve"> and signaling method(s) to support </w:t>
      </w:r>
      <w:r w:rsidRPr="004B55E3">
        <w:rPr>
          <w:rFonts w:ascii="Arial" w:hAnsi="Arial" w:cs="Arial"/>
          <w:bCs/>
          <w:lang w:eastAsia="zh-CN"/>
        </w:rPr>
        <w:t>on-demand SSB SCell operati</w:t>
      </w:r>
      <w:r w:rsidR="00427791">
        <w:rPr>
          <w:rFonts w:ascii="Arial" w:hAnsi="Arial" w:cs="Arial"/>
          <w:bCs/>
          <w:lang w:eastAsia="zh-CN"/>
        </w:rPr>
        <w:t xml:space="preserve">on </w:t>
      </w:r>
      <w:r w:rsidRPr="00427791">
        <w:rPr>
          <w:rFonts w:ascii="Arial" w:hAnsi="Arial" w:cs="Arial"/>
          <w:bCs/>
          <w:lang w:eastAsia="zh-CN"/>
        </w:rPr>
        <w:t>for UEs in connected mode configured with CA, for both intra-/inter-band CA. [RAN1/2/3/4]</w:t>
      </w:r>
    </w:p>
    <w:p w14:paraId="4F55809C"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Specify triggering method(s) (select from UE uplink wake-up-signal using an existing signal/channel, cell on/off indication via backhaul, Scell activation/deactivation signaling)</w:t>
      </w:r>
    </w:p>
    <w:p w14:paraId="1E33D2A4" w14:textId="77777777" w:rsidR="008554CC" w:rsidRPr="004B55E3" w:rsidRDefault="008554CC" w:rsidP="00DF7C11">
      <w:pPr>
        <w:numPr>
          <w:ilvl w:val="1"/>
          <w:numId w:val="39"/>
        </w:numPr>
        <w:overflowPunct w:val="0"/>
        <w:autoSpaceDE w:val="0"/>
        <w:autoSpaceDN w:val="0"/>
        <w:adjustRightInd w:val="0"/>
        <w:spacing w:beforeLines="50" w:before="120" w:afterLines="50" w:after="120"/>
        <w:ind w:left="1049" w:hanging="329"/>
        <w:jc w:val="both"/>
        <w:textAlignment w:val="baseline"/>
        <w:rPr>
          <w:rFonts w:ascii="Arial" w:hAnsi="Arial" w:cs="Arial"/>
          <w:bCs/>
          <w:lang w:val="en-US" w:eastAsia="zh-CN"/>
        </w:rPr>
      </w:pPr>
      <w:r w:rsidRPr="004B55E3">
        <w:rPr>
          <w:rFonts w:ascii="Arial" w:hAnsi="Arial" w:cs="Arial"/>
          <w:bCs/>
          <w:lang w:val="en-US" w:eastAsia="zh-CN"/>
        </w:rPr>
        <w:t>Note1: On-demand SSB transmission can be used by UE for</w:t>
      </w:r>
      <w:r w:rsidRPr="004B55E3">
        <w:rPr>
          <w:rFonts w:ascii="Arial" w:hAnsi="Arial" w:cs="Arial"/>
          <w:bCs/>
          <w:lang w:eastAsia="zh-CN"/>
        </w:rPr>
        <w:t xml:space="preserve"> at least SCell time/frequency synchronization, L1/L3 measurements and SCell activation, and is supported for FR1 and FR2 in non-shared spectrum.</w:t>
      </w:r>
    </w:p>
    <w:p w14:paraId="4C19E496" w14:textId="4F5C2E39" w:rsidR="008554CC" w:rsidRPr="004B55E3" w:rsidRDefault="008554CC" w:rsidP="00F65A61">
      <w:pPr>
        <w:spacing w:after="0"/>
        <w:jc w:val="both"/>
        <w:rPr>
          <w:rFonts w:ascii="Arial" w:hAnsi="Arial" w:cs="Arial"/>
          <w:lang w:val="en-US" w:eastAsia="x-none"/>
        </w:rPr>
      </w:pPr>
      <w:r w:rsidRPr="004B55E3">
        <w:rPr>
          <w:rFonts w:ascii="Arial" w:hAnsi="Arial" w:cs="Arial"/>
          <w:lang w:val="en-US" w:eastAsia="x-none"/>
        </w:rPr>
        <w:t xml:space="preserve">This contribution discusses the </w:t>
      </w:r>
      <w:r w:rsidR="00AF505D">
        <w:rPr>
          <w:rFonts w:ascii="Arial" w:hAnsi="Arial" w:cs="Arial"/>
          <w:lang w:val="en-US" w:eastAsia="x-none"/>
        </w:rPr>
        <w:t xml:space="preserve">remaining issues on </w:t>
      </w:r>
      <w:r w:rsidRPr="004B55E3">
        <w:rPr>
          <w:rFonts w:ascii="Arial" w:hAnsi="Arial" w:cs="Arial"/>
          <w:lang w:val="en-US" w:eastAsia="x-none"/>
        </w:rPr>
        <w:t xml:space="preserve">supporting </w:t>
      </w:r>
      <w:r w:rsidRPr="004B55E3">
        <w:rPr>
          <w:rFonts w:ascii="Arial" w:hAnsi="Arial" w:cs="Arial"/>
          <w:lang w:eastAsia="x-none"/>
        </w:rPr>
        <w:t xml:space="preserve">on-demand SSB on SCell. </w:t>
      </w:r>
    </w:p>
    <w:p w14:paraId="193E9241" w14:textId="38D1639D" w:rsidR="005A14B4" w:rsidRPr="00DE4076" w:rsidRDefault="005B7BB7" w:rsidP="005A14B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E183788"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695EC78E" w14:textId="77777777" w:rsidR="00957B9D" w:rsidRPr="00957B9D" w:rsidRDefault="00957B9D" w:rsidP="00957B9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54AF5B7E" w14:textId="77777777" w:rsidR="00D73BB1" w:rsidRPr="00D73BB1" w:rsidRDefault="00D73BB1" w:rsidP="003E7195">
      <w:pPr>
        <w:pStyle w:val="Heading2"/>
        <w:numPr>
          <w:ilvl w:val="1"/>
          <w:numId w:val="1"/>
        </w:numPr>
        <w:jc w:val="both"/>
        <w:rPr>
          <w:rFonts w:eastAsiaTheme="minorEastAsia"/>
          <w:szCs w:val="24"/>
          <w:lang w:eastAsia="zh-CN"/>
        </w:rPr>
      </w:pPr>
      <w:r w:rsidRPr="00D73BB1">
        <w:rPr>
          <w:rFonts w:eastAsiaTheme="minorEastAsia" w:cs="Arial"/>
          <w:sz w:val="28"/>
        </w:rPr>
        <w:t xml:space="preserve">Neighbor cell measurements </w:t>
      </w:r>
    </w:p>
    <w:p w14:paraId="35B9D410" w14:textId="77777777" w:rsidR="00D73BB1" w:rsidRDefault="00D73BB1" w:rsidP="00D73BB1">
      <w:pPr>
        <w:jc w:val="both"/>
        <w:rPr>
          <w:rFonts w:ascii="Arial" w:hAnsi="Arial" w:cs="Arial"/>
          <w:lang w:eastAsia="zh-CN"/>
        </w:rPr>
      </w:pPr>
      <w:r w:rsidRPr="00D73BB1">
        <w:rPr>
          <w:rFonts w:ascii="Arial" w:hAnsi="Arial" w:cs="Arial"/>
          <w:lang w:eastAsia="zh-CN"/>
        </w:rPr>
        <w:t>For SCell change, measurement object for frequency of a configured/activated SCell and measurement report for event triggered reporting for event A6 can be configured. A measurement configuration identified by a measurement identity is configured for this measurement object and measurement report. For this measurement configuration, UE measures the SCell corresponding to frequency in the measurement object; UE also detects and measures neighboring cells on the frequency in the measurement object. SCell measurements and neighbor cell measurements are then used to evaluate whether event A6 is met or not.</w:t>
      </w:r>
    </w:p>
    <w:p w14:paraId="25B954C4" w14:textId="78688A2E" w:rsidR="00D73BB1" w:rsidRDefault="00D73BB1" w:rsidP="00D73BB1">
      <w:pPr>
        <w:jc w:val="both"/>
        <w:rPr>
          <w:rFonts w:ascii="Arial" w:hAnsi="Arial" w:cs="Arial"/>
          <w:lang w:eastAsia="zh-CN"/>
        </w:rPr>
      </w:pPr>
      <w:r w:rsidRPr="00D73BB1">
        <w:rPr>
          <w:rFonts w:ascii="Arial" w:hAnsi="Arial" w:cs="Arial"/>
          <w:lang w:eastAsia="zh-CN"/>
        </w:rPr>
        <w:t>The issue is that if SCell is not configured with always on SSBs and is configured with on demand SSB, SCell measurements cannot be performed until on demand SSB is activated but the UE continues to measure the neighbor cells on the frequency of this SCell as measurement configuration include measurement object corresponding to frequency of this SCell. This leads to unnecessary energy consumption in the UE.</w:t>
      </w:r>
    </w:p>
    <w:p w14:paraId="69DCAEC3" w14:textId="77777777" w:rsidR="00D73BB1" w:rsidRPr="00EA075A" w:rsidRDefault="00D73BB1" w:rsidP="00D73BB1">
      <w:pPr>
        <w:jc w:val="both"/>
        <w:rPr>
          <w:rFonts w:ascii="Arial" w:hAnsi="Arial" w:cs="Arial"/>
          <w:lang w:eastAsia="zh-CN"/>
        </w:rPr>
      </w:pPr>
      <w:r w:rsidRPr="00EA075A">
        <w:rPr>
          <w:rFonts w:ascii="Arial" w:hAnsi="Arial" w:cs="Arial"/>
          <w:lang w:eastAsia="zh-CN"/>
        </w:rPr>
        <w:t>We propose the following to address this issue</w:t>
      </w:r>
    </w:p>
    <w:p w14:paraId="10835000" w14:textId="066BE4DB" w:rsidR="00D73BB1" w:rsidRDefault="00D73BB1" w:rsidP="00D73BB1">
      <w:pPr>
        <w:pStyle w:val="ListParagraph"/>
        <w:numPr>
          <w:ilvl w:val="0"/>
          <w:numId w:val="39"/>
        </w:numPr>
        <w:ind w:leftChars="0"/>
        <w:jc w:val="both"/>
        <w:rPr>
          <w:rFonts w:ascii="Arial" w:hAnsi="Arial" w:cs="Arial"/>
          <w:lang w:eastAsia="zh-CN"/>
        </w:rPr>
      </w:pPr>
      <w:r w:rsidRPr="00EA075A">
        <w:rPr>
          <w:rFonts w:ascii="Arial" w:hAnsi="Arial" w:cs="Arial"/>
          <w:lang w:eastAsia="zh-CN"/>
        </w:rPr>
        <w:t>for a measObject (in the measurement identity list), if a SCell corresponding to the frequency of the measObject is configured with on demand SSB and always on/periodic SSB is not configured for the SCell and on demand SSB is not activated and this measObject is associated only with a measurement reporting of a type/event which needs measurements of this SCell: UE ignore the measObject and do not measure neighbor cells according to measObject.</w:t>
      </w:r>
    </w:p>
    <w:p w14:paraId="5D89F4DB" w14:textId="1ADAD939" w:rsidR="00D73BB1" w:rsidRPr="00EA075A" w:rsidRDefault="00EA075A" w:rsidP="00D73BB1">
      <w:pPr>
        <w:jc w:val="both"/>
        <w:rPr>
          <w:rFonts w:ascii="Arial" w:hAnsi="Arial" w:cs="Arial"/>
          <w:b/>
          <w:lang w:eastAsia="zh-CN"/>
        </w:rPr>
      </w:pPr>
      <w:r w:rsidRPr="00EA075A">
        <w:rPr>
          <w:rFonts w:ascii="Arial" w:hAnsi="Arial" w:cs="Arial"/>
          <w:b/>
          <w:lang w:eastAsia="zh-CN"/>
        </w:rPr>
        <w:t>Proposal: for a measObject (in the measurement identity list), if a SCell corresponding to the frequency of the measObject is configured with on demand SSB and always on/periodic SSB is not configured for the SCell and on demand SSB is not activated and this measObject is associated only with a measurement reporting of a type/event which needs measurements of this SCell: UE ignore the measObject and do not measure neighbor cells according to measObject.</w:t>
      </w:r>
    </w:p>
    <w:p w14:paraId="35ED8519" w14:textId="6B4A6847" w:rsidR="00CD53B1" w:rsidRDefault="00CD53B1" w:rsidP="00CD53B1">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lastRenderedPageBreak/>
        <w:t>Conclusion</w:t>
      </w:r>
    </w:p>
    <w:p w14:paraId="28C67B36" w14:textId="77777777" w:rsidR="00EA075A" w:rsidRPr="00EA075A" w:rsidRDefault="00EA075A" w:rsidP="00EA075A">
      <w:pPr>
        <w:jc w:val="both"/>
        <w:rPr>
          <w:rFonts w:ascii="Arial" w:hAnsi="Arial" w:cs="Arial"/>
          <w:b/>
          <w:lang w:eastAsia="zh-CN"/>
        </w:rPr>
      </w:pPr>
      <w:r w:rsidRPr="00EA075A">
        <w:rPr>
          <w:rFonts w:ascii="Arial" w:hAnsi="Arial" w:cs="Arial"/>
          <w:b/>
          <w:lang w:eastAsia="zh-CN"/>
        </w:rPr>
        <w:t>Proposal: for a measObject (in the measurement identity list), if a SCell corresponding to the frequency of the measObject is configured with on demand SSB and always on/periodic SSB is not configured for the SCell and on demand SSB is not activated and this measObject is associated only with a measurement reporting of a type/event which needs measurements of this SCell: UE ignore the measObject and do not measure neighbor cells according to measObject.</w:t>
      </w:r>
    </w:p>
    <w:p w14:paraId="64E0A017" w14:textId="2D9C0AC8" w:rsidR="00F93930" w:rsidRDefault="00EA075A" w:rsidP="00DF7D0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Pr>
          <w:szCs w:val="20"/>
          <w:lang w:val="en-US"/>
        </w:rPr>
        <w:t>Text Proposal</w:t>
      </w:r>
    </w:p>
    <w:p w14:paraId="44C472A7" w14:textId="77777777" w:rsidR="00EA075A" w:rsidRPr="00EA075A" w:rsidRDefault="00EA075A" w:rsidP="00EA075A">
      <w:pPr>
        <w:pStyle w:val="Heading3"/>
        <w:ind w:leftChars="18" w:left="397" w:hangingChars="150" w:hanging="361"/>
        <w:rPr>
          <w:rFonts w:eastAsia="Times New Roman"/>
          <w:b/>
          <w:sz w:val="24"/>
        </w:rPr>
      </w:pPr>
      <w:r w:rsidRPr="00EA075A">
        <w:rPr>
          <w:rFonts w:eastAsia="Times New Roman"/>
          <w:b/>
          <w:sz w:val="24"/>
        </w:rPr>
        <w:t>5.5.3       Performing measurements</w:t>
      </w:r>
    </w:p>
    <w:p w14:paraId="3F6F5C0A" w14:textId="77777777" w:rsidR="00EA075A" w:rsidRDefault="00EA075A" w:rsidP="00EA075A">
      <w:pPr>
        <w:pStyle w:val="B1"/>
        <w:rPr>
          <w:rFonts w:eastAsiaTheme="minorHAnsi"/>
        </w:rPr>
      </w:pPr>
      <w:r>
        <w:t>:</w:t>
      </w:r>
    </w:p>
    <w:p w14:paraId="2E2AD0A3" w14:textId="77777777" w:rsidR="00EA075A" w:rsidRDefault="00EA075A" w:rsidP="00EA075A">
      <w:pPr>
        <w:pStyle w:val="B1"/>
        <w:rPr>
          <w:rFonts w:eastAsia="Times New Roman"/>
        </w:rPr>
      </w:pPr>
      <w:r>
        <w:t xml:space="preserve">1&gt; for each </w:t>
      </w:r>
      <w:r>
        <w:rPr>
          <w:i/>
          <w:iCs/>
        </w:rPr>
        <w:t>measId</w:t>
      </w:r>
      <w:r>
        <w:t xml:space="preserve"> included in the </w:t>
      </w:r>
      <w:r>
        <w:rPr>
          <w:i/>
          <w:iCs/>
        </w:rPr>
        <w:t>measIdList</w:t>
      </w:r>
      <w:r>
        <w:t xml:space="preserve"> within </w:t>
      </w:r>
      <w:r>
        <w:rPr>
          <w:i/>
          <w:iCs/>
        </w:rPr>
        <w:t>VarMeasConfig</w:t>
      </w:r>
      <w:r>
        <w:t>:</w:t>
      </w:r>
    </w:p>
    <w:p w14:paraId="3B92D15C" w14:textId="77777777" w:rsidR="00EA075A" w:rsidRDefault="00EA075A" w:rsidP="00EA075A">
      <w:pPr>
        <w:pStyle w:val="B2"/>
        <w:rPr>
          <w:lang w:val="en-GB"/>
        </w:rPr>
      </w:pPr>
      <w:r>
        <w:rPr>
          <w:lang w:val="en-GB"/>
        </w:rPr>
        <w:t xml:space="preserve">2&gt; if the </w:t>
      </w:r>
      <w:r>
        <w:rPr>
          <w:i/>
          <w:iCs/>
          <w:lang w:val="en-GB"/>
        </w:rPr>
        <w:t>reportType</w:t>
      </w:r>
      <w:r>
        <w:rPr>
          <w:lang w:val="en-GB"/>
        </w:rPr>
        <w:t xml:space="preserve"> for the associated </w:t>
      </w:r>
      <w:r>
        <w:rPr>
          <w:i/>
          <w:iCs/>
          <w:lang w:val="en-GB"/>
        </w:rPr>
        <w:t>reportConfig</w:t>
      </w:r>
      <w:r>
        <w:rPr>
          <w:lang w:val="en-GB"/>
        </w:rPr>
        <w:t xml:space="preserve"> is set to </w:t>
      </w:r>
      <w:proofErr w:type="spellStart"/>
      <w:r>
        <w:rPr>
          <w:i/>
          <w:iCs/>
          <w:lang w:val="en-GB"/>
        </w:rPr>
        <w:t>reportCGI</w:t>
      </w:r>
      <w:proofErr w:type="spellEnd"/>
      <w:r>
        <w:rPr>
          <w:lang w:val="en-GB"/>
        </w:rPr>
        <w:t xml:space="preserve"> and timer T321 is running:</w:t>
      </w:r>
    </w:p>
    <w:p w14:paraId="0A768F97" w14:textId="77777777" w:rsidR="00EA075A" w:rsidRDefault="00EA075A" w:rsidP="00EA075A">
      <w:pPr>
        <w:pStyle w:val="B3"/>
        <w:rPr>
          <w:lang w:val="en-GB"/>
        </w:rPr>
      </w:pPr>
      <w:r>
        <w:rPr>
          <w:lang w:val="en-GB"/>
        </w:rPr>
        <w:t xml:space="preserve">3&gt; if </w:t>
      </w:r>
      <w:proofErr w:type="spellStart"/>
      <w:r>
        <w:rPr>
          <w:i/>
          <w:iCs/>
          <w:lang w:val="en-GB"/>
        </w:rPr>
        <w:t>useAutonomousGaps</w:t>
      </w:r>
      <w:proofErr w:type="spellEnd"/>
      <w:r>
        <w:rPr>
          <w:lang w:val="en-GB"/>
        </w:rPr>
        <w:t xml:space="preserve"> is configured for the associated </w:t>
      </w:r>
      <w:r>
        <w:rPr>
          <w:i/>
          <w:iCs/>
          <w:lang w:val="en-GB"/>
        </w:rPr>
        <w:t>reportConfig</w:t>
      </w:r>
      <w:r>
        <w:rPr>
          <w:lang w:val="en-GB"/>
        </w:rPr>
        <w:t>:</w:t>
      </w:r>
    </w:p>
    <w:p w14:paraId="016F4D2E" w14:textId="77777777" w:rsidR="00EA075A" w:rsidRDefault="00EA075A" w:rsidP="00EA075A">
      <w:pPr>
        <w:pStyle w:val="B4"/>
      </w:pPr>
      <w:r>
        <w:t xml:space="preserve">4&gt; perform the corresponding measurements on the frequency and RAT indicated in the associated </w:t>
      </w:r>
      <w:r>
        <w:rPr>
          <w:i/>
          <w:iCs/>
        </w:rPr>
        <w:t>measObject</w:t>
      </w:r>
      <w:r>
        <w:t xml:space="preserve"> using autonomous gaps as necessary;</w:t>
      </w:r>
    </w:p>
    <w:p w14:paraId="25F08F77" w14:textId="77777777" w:rsidR="00EA075A" w:rsidRDefault="00EA075A" w:rsidP="00EA075A">
      <w:pPr>
        <w:pStyle w:val="B3"/>
        <w:rPr>
          <w:lang w:val="en-GB"/>
        </w:rPr>
      </w:pPr>
      <w:r>
        <w:rPr>
          <w:lang w:val="en-GB"/>
        </w:rPr>
        <w:t>3&gt; else:</w:t>
      </w:r>
    </w:p>
    <w:p w14:paraId="18BC9316" w14:textId="77777777" w:rsidR="00EA075A" w:rsidRDefault="00EA075A" w:rsidP="00EA075A">
      <w:pPr>
        <w:pStyle w:val="B4"/>
      </w:pPr>
      <w:r>
        <w:t xml:space="preserve">4&gt; perform the corresponding measurements on the frequency and RAT indicated in the associated </w:t>
      </w:r>
      <w:r>
        <w:rPr>
          <w:i/>
          <w:iCs/>
        </w:rPr>
        <w:t>measObject</w:t>
      </w:r>
      <w:r>
        <w:t xml:space="preserve"> using available idle periods;</w:t>
      </w:r>
    </w:p>
    <w:p w14:paraId="15638395" w14:textId="77777777" w:rsidR="00EA075A" w:rsidRDefault="00EA075A" w:rsidP="00EA075A">
      <w:pPr>
        <w:pStyle w:val="B3"/>
        <w:rPr>
          <w:lang w:val="en-GB"/>
        </w:rPr>
      </w:pPr>
      <w:r>
        <w:rPr>
          <w:lang w:val="en-GB"/>
        </w:rPr>
        <w:t xml:space="preserve">3&gt; if the cell indicated by </w:t>
      </w:r>
      <w:proofErr w:type="spellStart"/>
      <w:r>
        <w:rPr>
          <w:i/>
          <w:iCs/>
          <w:lang w:val="en-GB"/>
        </w:rPr>
        <w:t>reportCGI</w:t>
      </w:r>
      <w:proofErr w:type="spellEnd"/>
      <w:r>
        <w:rPr>
          <w:lang w:val="en-GB"/>
        </w:rPr>
        <w:t xml:space="preserve"> field for the associated </w:t>
      </w:r>
      <w:r>
        <w:rPr>
          <w:i/>
          <w:iCs/>
          <w:lang w:val="en-GB"/>
        </w:rPr>
        <w:t>measObject</w:t>
      </w:r>
      <w:r>
        <w:rPr>
          <w:lang w:val="en-GB"/>
        </w:rPr>
        <w:t xml:space="preserve"> is an NR cell and that indicated cell is broadcasting </w:t>
      </w:r>
      <w:r>
        <w:rPr>
          <w:i/>
          <w:iCs/>
          <w:lang w:val="en-GB"/>
        </w:rPr>
        <w:t>SIB1</w:t>
      </w:r>
      <w:r>
        <w:rPr>
          <w:lang w:val="en-GB"/>
        </w:rPr>
        <w:t xml:space="preserve"> (see TS 38.213 [13], clause 13):</w:t>
      </w:r>
    </w:p>
    <w:p w14:paraId="25BB9906" w14:textId="77777777" w:rsidR="00EA075A" w:rsidRDefault="00EA075A" w:rsidP="00EA075A">
      <w:pPr>
        <w:pStyle w:val="B4"/>
      </w:pPr>
      <w:r>
        <w:t xml:space="preserve">4&gt; try to acquire </w:t>
      </w:r>
      <w:r>
        <w:rPr>
          <w:i/>
          <w:iCs/>
        </w:rPr>
        <w:t>SIB1</w:t>
      </w:r>
      <w:r>
        <w:t xml:space="preserve"> in the concerned cell;</w:t>
      </w:r>
    </w:p>
    <w:p w14:paraId="28EA4B9E" w14:textId="77777777" w:rsidR="00EA075A" w:rsidRDefault="00EA075A" w:rsidP="00EA075A">
      <w:pPr>
        <w:pStyle w:val="B3"/>
        <w:rPr>
          <w:lang w:val="en-GB"/>
        </w:rPr>
      </w:pPr>
      <w:r>
        <w:rPr>
          <w:lang w:val="en-GB"/>
        </w:rPr>
        <w:t xml:space="preserve">3&gt; if the cell indicated by </w:t>
      </w:r>
      <w:proofErr w:type="spellStart"/>
      <w:r>
        <w:rPr>
          <w:i/>
          <w:iCs/>
          <w:lang w:val="en-GB"/>
        </w:rPr>
        <w:t>reportCGI</w:t>
      </w:r>
      <w:proofErr w:type="spellEnd"/>
      <w:r>
        <w:rPr>
          <w:lang w:val="en-GB"/>
        </w:rPr>
        <w:t xml:space="preserve"> field is an E-UTRA cell:</w:t>
      </w:r>
    </w:p>
    <w:p w14:paraId="3F63B2B8" w14:textId="77777777" w:rsidR="00EA075A" w:rsidRDefault="00EA075A" w:rsidP="00EA075A">
      <w:pPr>
        <w:pStyle w:val="B4"/>
      </w:pPr>
      <w:r>
        <w:t xml:space="preserve">4&gt; try to acquire </w:t>
      </w:r>
      <w:r>
        <w:rPr>
          <w:i/>
          <w:iCs/>
        </w:rPr>
        <w:t>SystemInformationBlockType1</w:t>
      </w:r>
      <w:r>
        <w:t xml:space="preserve"> in the concerned cell;</w:t>
      </w:r>
    </w:p>
    <w:p w14:paraId="6ECC1585" w14:textId="77777777" w:rsidR="00EA075A" w:rsidRDefault="00EA075A" w:rsidP="00EA075A">
      <w:pPr>
        <w:pStyle w:val="B2"/>
        <w:rPr>
          <w:color w:val="FF0000"/>
          <w:u w:val="single"/>
          <w:lang w:val="en-GB"/>
        </w:rPr>
      </w:pPr>
      <w:r>
        <w:rPr>
          <w:color w:val="FF0000"/>
          <w:u w:val="single"/>
          <w:lang w:val="en-GB"/>
        </w:rPr>
        <w:t xml:space="preserve">2&gt; if the </w:t>
      </w:r>
      <w:r>
        <w:rPr>
          <w:i/>
          <w:iCs/>
          <w:color w:val="FF0000"/>
          <w:u w:val="single"/>
          <w:lang w:val="en-GB"/>
        </w:rPr>
        <w:t xml:space="preserve">reportType </w:t>
      </w:r>
      <w:r>
        <w:rPr>
          <w:color w:val="FF0000"/>
          <w:u w:val="single"/>
          <w:lang w:val="en-GB"/>
        </w:rPr>
        <w:t xml:space="preserve">in the associated </w:t>
      </w:r>
      <w:r>
        <w:rPr>
          <w:i/>
          <w:iCs/>
          <w:color w:val="FF0000"/>
          <w:u w:val="single"/>
          <w:lang w:val="en-GB"/>
        </w:rPr>
        <w:t>reportConfig</w:t>
      </w:r>
      <w:r>
        <w:rPr>
          <w:color w:val="FF0000"/>
          <w:u w:val="single"/>
          <w:lang w:val="en-GB"/>
        </w:rPr>
        <w:t xml:space="preserve"> is set to </w:t>
      </w:r>
      <w:r>
        <w:rPr>
          <w:i/>
          <w:iCs/>
          <w:color w:val="FF0000"/>
          <w:u w:val="single"/>
          <w:lang w:val="en-GB"/>
        </w:rPr>
        <w:t xml:space="preserve">eventTriggered </w:t>
      </w:r>
      <w:r>
        <w:rPr>
          <w:color w:val="FF0000"/>
          <w:u w:val="single"/>
          <w:lang w:val="en-GB"/>
        </w:rPr>
        <w:t>and the associated event is</w:t>
      </w:r>
      <w:r>
        <w:rPr>
          <w:i/>
          <w:iCs/>
          <w:color w:val="FF0000"/>
          <w:u w:val="single"/>
          <w:lang w:val="en-GB"/>
        </w:rPr>
        <w:t xml:space="preserve"> eventA6</w:t>
      </w:r>
      <w:r>
        <w:rPr>
          <w:color w:val="FF0000"/>
          <w:u w:val="single"/>
          <w:lang w:val="en-GB"/>
        </w:rPr>
        <w:t xml:space="preserve">; and </w:t>
      </w:r>
    </w:p>
    <w:p w14:paraId="26627B37" w14:textId="77777777" w:rsidR="00EA075A" w:rsidRDefault="00EA075A" w:rsidP="00EA075A">
      <w:pPr>
        <w:pStyle w:val="B2"/>
        <w:rPr>
          <w:color w:val="FF0000"/>
          <w:u w:val="single"/>
          <w:lang w:val="en-GB"/>
        </w:rPr>
      </w:pPr>
      <w:r>
        <w:rPr>
          <w:color w:val="FF0000"/>
          <w:u w:val="single"/>
          <w:lang w:val="en-GB"/>
        </w:rPr>
        <w:t xml:space="preserve">2&gt; if the associated </w:t>
      </w:r>
      <w:r>
        <w:rPr>
          <w:i/>
          <w:iCs/>
          <w:color w:val="FF0000"/>
          <w:u w:val="single"/>
          <w:lang w:val="en-GB"/>
        </w:rPr>
        <w:t>measObject</w:t>
      </w:r>
      <w:r>
        <w:rPr>
          <w:color w:val="FF0000"/>
          <w:u w:val="single"/>
          <w:lang w:val="en-GB"/>
        </w:rPr>
        <w:t xml:space="preserve"> is not associated with other </w:t>
      </w:r>
      <w:r>
        <w:rPr>
          <w:i/>
          <w:iCs/>
          <w:color w:val="FF0000"/>
          <w:u w:val="single"/>
          <w:lang w:val="en-GB"/>
        </w:rPr>
        <w:t>measId</w:t>
      </w:r>
      <w:r>
        <w:rPr>
          <w:color w:val="FF0000"/>
          <w:u w:val="single"/>
          <w:lang w:val="en-GB"/>
        </w:rPr>
        <w:t>;</w:t>
      </w:r>
    </w:p>
    <w:p w14:paraId="2B1DB60A" w14:textId="77777777" w:rsidR="00EA075A" w:rsidRDefault="00EA075A" w:rsidP="00EA075A">
      <w:pPr>
        <w:pStyle w:val="B2"/>
        <w:rPr>
          <w:color w:val="FF0000"/>
          <w:u w:val="single"/>
          <w:lang w:val="en-GB"/>
        </w:rPr>
      </w:pPr>
      <w:r>
        <w:rPr>
          <w:color w:val="FF0000"/>
          <w:u w:val="single"/>
          <w:lang w:val="en-GB"/>
        </w:rPr>
        <w:t xml:space="preserve">2&gt; if the SCell corresponding to the frequency of the </w:t>
      </w:r>
      <w:r>
        <w:rPr>
          <w:i/>
          <w:iCs/>
          <w:color w:val="FF0000"/>
          <w:u w:val="single"/>
          <w:lang w:val="en-GB"/>
        </w:rPr>
        <w:t>measObject</w:t>
      </w:r>
      <w:r>
        <w:rPr>
          <w:color w:val="FF0000"/>
          <w:u w:val="single"/>
          <w:lang w:val="en-GB"/>
        </w:rPr>
        <w:t xml:space="preserve"> is configured with on demand SSB; and periodic SSB is not configured; and on demand SSB is not activated:</w:t>
      </w:r>
    </w:p>
    <w:p w14:paraId="2DDD54EE" w14:textId="77777777" w:rsidR="00EA075A" w:rsidRDefault="00EA075A" w:rsidP="00EA075A">
      <w:pPr>
        <w:pStyle w:val="B3"/>
        <w:rPr>
          <w:i/>
          <w:iCs/>
          <w:color w:val="FF0000"/>
          <w:u w:val="single"/>
          <w:lang w:val="en-GB"/>
        </w:rPr>
      </w:pPr>
      <w:r>
        <w:rPr>
          <w:color w:val="FF0000"/>
          <w:u w:val="single"/>
          <w:lang w:val="en-GB"/>
        </w:rPr>
        <w:t xml:space="preserve">3&gt; ignore the </w:t>
      </w:r>
      <w:r>
        <w:rPr>
          <w:i/>
          <w:iCs/>
          <w:color w:val="FF0000"/>
          <w:u w:val="single"/>
          <w:lang w:val="en-GB"/>
        </w:rPr>
        <w:t>measObject;</w:t>
      </w:r>
    </w:p>
    <w:p w14:paraId="1F100A40" w14:textId="77777777" w:rsidR="00EA075A" w:rsidRDefault="00EA075A" w:rsidP="00EA075A">
      <w:pPr>
        <w:pStyle w:val="B2"/>
        <w:rPr>
          <w:lang w:val="en-GB"/>
        </w:rPr>
      </w:pPr>
      <w:r>
        <w:rPr>
          <w:lang w:val="en-GB"/>
        </w:rPr>
        <w:t xml:space="preserve">2&gt; if the </w:t>
      </w:r>
      <w:r>
        <w:rPr>
          <w:i/>
          <w:iCs/>
          <w:lang w:val="en-GB"/>
        </w:rPr>
        <w:t>ul-</w:t>
      </w:r>
      <w:proofErr w:type="spellStart"/>
      <w:r>
        <w:rPr>
          <w:i/>
          <w:iCs/>
          <w:lang w:val="en-GB"/>
        </w:rPr>
        <w:t>DelayValueConfig</w:t>
      </w:r>
      <w:proofErr w:type="spellEnd"/>
      <w:r>
        <w:rPr>
          <w:lang w:val="en-GB"/>
        </w:rPr>
        <w:t xml:space="preserve"> is configured for the associated </w:t>
      </w:r>
      <w:r>
        <w:rPr>
          <w:i/>
          <w:iCs/>
          <w:lang w:val="en-GB"/>
        </w:rPr>
        <w:t>reportConfig</w:t>
      </w:r>
      <w:r>
        <w:rPr>
          <w:lang w:val="en-GB"/>
        </w:rPr>
        <w:t>:</w:t>
      </w:r>
    </w:p>
    <w:p w14:paraId="45660048" w14:textId="77777777" w:rsidR="00EA075A" w:rsidRDefault="00EA075A" w:rsidP="00EA075A">
      <w:pPr>
        <w:pStyle w:val="B3"/>
        <w:rPr>
          <w:i/>
          <w:iCs/>
          <w:lang w:val="en-GB"/>
        </w:rPr>
      </w:pPr>
      <w:r>
        <w:rPr>
          <w:lang w:val="en-GB"/>
        </w:rPr>
        <w:t xml:space="preserve">3&gt; ignore the </w:t>
      </w:r>
      <w:r>
        <w:rPr>
          <w:i/>
          <w:iCs/>
          <w:lang w:val="en-GB"/>
        </w:rPr>
        <w:t>measObject;</w:t>
      </w:r>
    </w:p>
    <w:p w14:paraId="7525AB7C" w14:textId="77777777" w:rsidR="00EA075A" w:rsidRDefault="00EA075A" w:rsidP="00EA075A">
      <w:pPr>
        <w:pStyle w:val="B3"/>
        <w:rPr>
          <w:lang w:val="en-GB"/>
        </w:rPr>
      </w:pPr>
      <w:r>
        <w:rPr>
          <w:lang w:val="en-GB"/>
        </w:rPr>
        <w:t>3&gt; for each of the configured DRBs</w:t>
      </w:r>
      <w:r>
        <w:rPr>
          <w:i/>
          <w:iCs/>
          <w:lang w:val="en-GB"/>
        </w:rPr>
        <w:t>,</w:t>
      </w:r>
      <w:r>
        <w:rPr>
          <w:lang w:val="en-GB"/>
        </w:rPr>
        <w:t xml:space="preserve"> configure the PDCP layer to perform corresponding average UL PDCP packet delay measurement per DRB;</w:t>
      </w:r>
    </w:p>
    <w:p w14:paraId="4130B260" w14:textId="77777777" w:rsidR="00EA075A" w:rsidRDefault="00EA075A" w:rsidP="00EA075A">
      <w:pPr>
        <w:pStyle w:val="B2"/>
        <w:rPr>
          <w:lang w:val="en-GB"/>
        </w:rPr>
      </w:pPr>
      <w:r>
        <w:rPr>
          <w:lang w:val="en-GB"/>
        </w:rPr>
        <w:t xml:space="preserve">2&gt; if the </w:t>
      </w:r>
      <w:r>
        <w:rPr>
          <w:i/>
          <w:iCs/>
          <w:lang w:val="en-GB"/>
        </w:rPr>
        <w:t>ul-</w:t>
      </w:r>
      <w:proofErr w:type="spellStart"/>
      <w:r>
        <w:rPr>
          <w:i/>
          <w:iCs/>
          <w:lang w:val="en-GB"/>
        </w:rPr>
        <w:t>ExcessDelayConfig</w:t>
      </w:r>
      <w:proofErr w:type="spellEnd"/>
      <w:r>
        <w:rPr>
          <w:lang w:val="en-GB"/>
        </w:rPr>
        <w:t xml:space="preserve"> is configured for the associated </w:t>
      </w:r>
      <w:r>
        <w:rPr>
          <w:i/>
          <w:iCs/>
          <w:lang w:val="en-GB"/>
        </w:rPr>
        <w:t>reportConfig</w:t>
      </w:r>
      <w:r>
        <w:rPr>
          <w:lang w:val="en-GB"/>
        </w:rPr>
        <w:t>:</w:t>
      </w:r>
    </w:p>
    <w:p w14:paraId="0437F04F" w14:textId="77777777" w:rsidR="00EA075A" w:rsidRDefault="00EA075A" w:rsidP="00EA075A">
      <w:pPr>
        <w:pStyle w:val="B3"/>
        <w:rPr>
          <w:i/>
          <w:iCs/>
          <w:lang w:val="en-GB"/>
        </w:rPr>
      </w:pPr>
      <w:r>
        <w:rPr>
          <w:lang w:val="en-GB"/>
        </w:rPr>
        <w:t xml:space="preserve">3&gt; ignore the </w:t>
      </w:r>
      <w:r>
        <w:rPr>
          <w:i/>
          <w:iCs/>
          <w:lang w:val="en-GB"/>
        </w:rPr>
        <w:t>measObject;</w:t>
      </w:r>
    </w:p>
    <w:p w14:paraId="710ABB99" w14:textId="77777777" w:rsidR="00EA075A" w:rsidRDefault="00EA075A" w:rsidP="00EA075A">
      <w:pPr>
        <w:pStyle w:val="B3"/>
        <w:rPr>
          <w:lang w:val="en-GB"/>
        </w:rPr>
      </w:pPr>
      <w:r>
        <w:rPr>
          <w:lang w:val="en-GB"/>
        </w:rPr>
        <w:t>3&gt; for each of the configured DRBs</w:t>
      </w:r>
      <w:r>
        <w:rPr>
          <w:i/>
          <w:iCs/>
          <w:lang w:val="en-GB"/>
        </w:rPr>
        <w:t>,</w:t>
      </w:r>
      <w:r>
        <w:rPr>
          <w:lang w:val="en-GB"/>
        </w:rPr>
        <w:t xml:space="preserve"> configure the PDCP layer to perform corresponding UL PDCP Excess Packet Delay </w:t>
      </w:r>
      <w:proofErr w:type="spellStart"/>
      <w:r>
        <w:rPr>
          <w:lang w:val="en-GB"/>
        </w:rPr>
        <w:t>delay</w:t>
      </w:r>
      <w:proofErr w:type="spellEnd"/>
      <w:r>
        <w:rPr>
          <w:lang w:val="en-GB"/>
        </w:rPr>
        <w:t xml:space="preserve"> measurement according to the configured threshold per DRB;</w:t>
      </w:r>
    </w:p>
    <w:p w14:paraId="43CBBF90" w14:textId="77777777" w:rsidR="00EA075A" w:rsidRDefault="00EA075A" w:rsidP="00EA075A">
      <w:pPr>
        <w:pStyle w:val="B2"/>
        <w:rPr>
          <w:lang w:val="en-GB"/>
        </w:rPr>
      </w:pPr>
      <w:r>
        <w:rPr>
          <w:lang w:val="en-GB"/>
        </w:rPr>
        <w:t xml:space="preserve">2&gt; if the </w:t>
      </w:r>
      <w:r>
        <w:rPr>
          <w:i/>
          <w:iCs/>
          <w:lang w:val="en-GB"/>
        </w:rPr>
        <w:t>reportType</w:t>
      </w:r>
      <w:r>
        <w:rPr>
          <w:lang w:val="en-GB"/>
        </w:rPr>
        <w:t xml:space="preserve"> for the associated </w:t>
      </w:r>
      <w:r>
        <w:rPr>
          <w:i/>
          <w:iCs/>
          <w:lang w:val="en-GB"/>
        </w:rPr>
        <w:t>reportConfig</w:t>
      </w:r>
      <w:r>
        <w:rPr>
          <w:lang w:val="en-GB"/>
        </w:rPr>
        <w:t xml:space="preserve"> is </w:t>
      </w:r>
      <w:r>
        <w:rPr>
          <w:i/>
          <w:iCs/>
          <w:lang w:val="en-GB"/>
        </w:rPr>
        <w:t>periodical</w:t>
      </w:r>
      <w:r>
        <w:rPr>
          <w:lang w:val="en-GB"/>
        </w:rPr>
        <w:t xml:space="preserve">, </w:t>
      </w:r>
      <w:r>
        <w:rPr>
          <w:i/>
          <w:iCs/>
          <w:lang w:val="en-GB"/>
        </w:rPr>
        <w:t>eventTriggered</w:t>
      </w:r>
      <w:r>
        <w:rPr>
          <w:lang w:val="en-GB"/>
        </w:rPr>
        <w:t>; or</w:t>
      </w:r>
    </w:p>
    <w:p w14:paraId="7A80CF33" w14:textId="77777777" w:rsidR="00EA075A" w:rsidRDefault="00EA075A" w:rsidP="00EA075A">
      <w:pPr>
        <w:pStyle w:val="B2"/>
        <w:rPr>
          <w:lang w:val="en-GB"/>
        </w:rPr>
      </w:pPr>
      <w:r>
        <w:rPr>
          <w:lang w:val="en-GB"/>
        </w:rPr>
        <w:lastRenderedPageBreak/>
        <w:t xml:space="preserve">2&gt; if the </w:t>
      </w:r>
      <w:r>
        <w:rPr>
          <w:i/>
          <w:iCs/>
          <w:lang w:val="en-GB"/>
        </w:rPr>
        <w:t>reportType</w:t>
      </w:r>
      <w:r>
        <w:rPr>
          <w:lang w:val="en-GB"/>
        </w:rPr>
        <w:t xml:space="preserve"> for the associated </w:t>
      </w:r>
      <w:r>
        <w:rPr>
          <w:i/>
          <w:iCs/>
          <w:lang w:val="en-GB"/>
        </w:rPr>
        <w:t>reportConfig</w:t>
      </w:r>
      <w:r>
        <w:rPr>
          <w:lang w:val="en-GB"/>
        </w:rPr>
        <w:t xml:space="preserve"> is </w:t>
      </w:r>
      <w:r>
        <w:rPr>
          <w:i/>
          <w:iCs/>
          <w:lang w:val="en-GB"/>
        </w:rPr>
        <w:t>condTriggerConfig,</w:t>
      </w:r>
      <w:r>
        <w:rPr>
          <w:lang w:val="en-GB"/>
        </w:rPr>
        <w:t xml:space="preserve"> the </w:t>
      </w:r>
      <w:r>
        <w:rPr>
          <w:i/>
          <w:iCs/>
          <w:lang w:val="en-GB"/>
        </w:rPr>
        <w:t>measId</w:t>
      </w:r>
      <w:r>
        <w:rPr>
          <w:lang w:val="en-GB"/>
        </w:rPr>
        <w:t xml:space="preserve"> is within the MCG </w:t>
      </w:r>
      <w:r>
        <w:rPr>
          <w:i/>
          <w:iCs/>
          <w:lang w:val="en-GB"/>
        </w:rPr>
        <w:t xml:space="preserve">VarMeasConfig </w:t>
      </w:r>
      <w:r>
        <w:rPr>
          <w:lang w:val="en-GB"/>
        </w:rPr>
        <w:t xml:space="preserve">and is indicated in the </w:t>
      </w:r>
      <w:proofErr w:type="spellStart"/>
      <w:r>
        <w:rPr>
          <w:i/>
          <w:iCs/>
          <w:lang w:val="en-GB"/>
        </w:rPr>
        <w:t>condExecutionCond</w:t>
      </w:r>
      <w:proofErr w:type="spellEnd"/>
      <w:r>
        <w:rPr>
          <w:lang w:val="en-GB"/>
        </w:rPr>
        <w:t xml:space="preserve"> or in the </w:t>
      </w:r>
      <w:r>
        <w:rPr>
          <w:i/>
          <w:iCs/>
          <w:lang w:val="en-GB"/>
        </w:rPr>
        <w:t>condExecutionCondPSCell</w:t>
      </w:r>
      <w:r>
        <w:rPr>
          <w:lang w:val="en-GB"/>
        </w:rPr>
        <w:t xml:space="preserve"> associated to a </w:t>
      </w:r>
      <w:r>
        <w:rPr>
          <w:i/>
          <w:iCs/>
          <w:lang w:val="en-GB"/>
        </w:rPr>
        <w:t>condReconfigId</w:t>
      </w:r>
      <w:r>
        <w:rPr>
          <w:lang w:val="en-GB"/>
        </w:rPr>
        <w:t xml:space="preserve"> in the MCG</w:t>
      </w:r>
      <w:r>
        <w:rPr>
          <w:i/>
          <w:iCs/>
          <w:lang w:val="en-GB"/>
        </w:rPr>
        <w:t xml:space="preserve"> VarConditionalReconfig</w:t>
      </w:r>
      <w:r>
        <w:rPr>
          <w:lang w:val="en-GB"/>
        </w:rPr>
        <w:t xml:space="preserve"> (for CHO, CPA, MN-initiated inter-SN CPC, or subsequent CPAC in NR-DC); or</w:t>
      </w:r>
    </w:p>
    <w:p w14:paraId="3A99DA34" w14:textId="77777777" w:rsidR="00EA075A" w:rsidRDefault="00EA075A" w:rsidP="00EA075A">
      <w:pPr>
        <w:pStyle w:val="B2"/>
        <w:rPr>
          <w:lang w:val="en-GB"/>
        </w:rPr>
      </w:pPr>
      <w:r>
        <w:rPr>
          <w:lang w:val="en-GB"/>
        </w:rPr>
        <w:t xml:space="preserve">2&gt; if the </w:t>
      </w:r>
      <w:r>
        <w:rPr>
          <w:i/>
          <w:iCs/>
          <w:lang w:val="en-GB"/>
        </w:rPr>
        <w:t>reportType</w:t>
      </w:r>
      <w:r>
        <w:rPr>
          <w:lang w:val="en-GB"/>
        </w:rPr>
        <w:t xml:space="preserve"> for the associated </w:t>
      </w:r>
      <w:r>
        <w:rPr>
          <w:i/>
          <w:iCs/>
          <w:lang w:val="en-GB"/>
        </w:rPr>
        <w:t>reportConfig</w:t>
      </w:r>
      <w:r>
        <w:rPr>
          <w:lang w:val="en-GB"/>
        </w:rPr>
        <w:t xml:space="preserve"> is </w:t>
      </w:r>
      <w:r>
        <w:rPr>
          <w:i/>
          <w:iCs/>
          <w:lang w:val="en-GB"/>
        </w:rPr>
        <w:t>condTriggerConfig</w:t>
      </w:r>
      <w:r>
        <w:rPr>
          <w:lang w:val="en-GB"/>
        </w:rPr>
        <w:t xml:space="preserve">, the </w:t>
      </w:r>
      <w:r>
        <w:rPr>
          <w:i/>
          <w:iCs/>
          <w:lang w:val="en-GB"/>
        </w:rPr>
        <w:t>measId</w:t>
      </w:r>
      <w:r>
        <w:rPr>
          <w:lang w:val="en-GB"/>
        </w:rPr>
        <w:t xml:space="preserve"> is within the SCG </w:t>
      </w:r>
      <w:r>
        <w:rPr>
          <w:i/>
          <w:iCs/>
          <w:lang w:val="en-GB"/>
        </w:rPr>
        <w:t>VarMeasConfig</w:t>
      </w:r>
      <w:r>
        <w:rPr>
          <w:lang w:val="en-GB"/>
        </w:rPr>
        <w:t xml:space="preserve"> and is indicated in the </w:t>
      </w:r>
      <w:proofErr w:type="spellStart"/>
      <w:r>
        <w:rPr>
          <w:i/>
          <w:iCs/>
          <w:lang w:val="en-GB"/>
        </w:rPr>
        <w:t>condExecutionCond</w:t>
      </w:r>
      <w:proofErr w:type="spellEnd"/>
      <w:r>
        <w:rPr>
          <w:lang w:val="en-GB"/>
        </w:rPr>
        <w:t xml:space="preserve"> associated to a </w:t>
      </w:r>
      <w:r>
        <w:rPr>
          <w:i/>
          <w:iCs/>
          <w:lang w:val="en-GB"/>
        </w:rPr>
        <w:t>condReconfigId</w:t>
      </w:r>
      <w:r>
        <w:rPr>
          <w:lang w:val="en-GB"/>
        </w:rPr>
        <w:t xml:space="preserve"> in the SCG </w:t>
      </w:r>
      <w:r>
        <w:rPr>
          <w:i/>
          <w:iCs/>
          <w:lang w:val="en-GB"/>
        </w:rPr>
        <w:t>VarConditionalReconfig</w:t>
      </w:r>
      <w:r>
        <w:rPr>
          <w:lang w:val="en-GB"/>
        </w:rPr>
        <w:t xml:space="preserve"> (for intra-SN CPC or subsequent CPAC); or</w:t>
      </w:r>
    </w:p>
    <w:p w14:paraId="3B54CE57" w14:textId="77777777" w:rsidR="00EA075A" w:rsidRDefault="00EA075A" w:rsidP="00EA075A">
      <w:pPr>
        <w:pStyle w:val="B2"/>
        <w:rPr>
          <w:lang w:val="en-GB"/>
        </w:rPr>
      </w:pPr>
      <w:r>
        <w:rPr>
          <w:lang w:val="en-GB"/>
        </w:rPr>
        <w:t xml:space="preserve">2&gt; if the </w:t>
      </w:r>
      <w:r>
        <w:rPr>
          <w:i/>
          <w:iCs/>
          <w:lang w:val="en-GB"/>
        </w:rPr>
        <w:t>reportType</w:t>
      </w:r>
      <w:r>
        <w:rPr>
          <w:lang w:val="en-GB"/>
        </w:rPr>
        <w:t xml:space="preserve"> for the associated </w:t>
      </w:r>
      <w:r>
        <w:rPr>
          <w:i/>
          <w:iCs/>
          <w:lang w:val="en-GB"/>
        </w:rPr>
        <w:t>reportConfig</w:t>
      </w:r>
      <w:r>
        <w:rPr>
          <w:lang w:val="en-GB"/>
        </w:rPr>
        <w:t xml:space="preserve"> is </w:t>
      </w:r>
      <w:r>
        <w:rPr>
          <w:i/>
          <w:iCs/>
          <w:lang w:val="en-GB"/>
        </w:rPr>
        <w:t>condTriggerConfig</w:t>
      </w:r>
      <w:r>
        <w:rPr>
          <w:lang w:val="en-GB"/>
        </w:rPr>
        <w:t xml:space="preserve">, the </w:t>
      </w:r>
      <w:r>
        <w:rPr>
          <w:i/>
          <w:iCs/>
          <w:lang w:val="en-GB"/>
        </w:rPr>
        <w:t>measId</w:t>
      </w:r>
      <w:r>
        <w:rPr>
          <w:lang w:val="en-GB"/>
        </w:rPr>
        <w:t xml:space="preserve"> is within the SCG </w:t>
      </w:r>
      <w:r>
        <w:rPr>
          <w:i/>
          <w:iCs/>
          <w:lang w:val="en-GB"/>
        </w:rPr>
        <w:t>VarMeasConfig</w:t>
      </w:r>
      <w:r>
        <w:rPr>
          <w:lang w:val="en-GB"/>
        </w:rPr>
        <w:t xml:space="preserve"> and is indicated in the </w:t>
      </w:r>
      <w:proofErr w:type="spellStart"/>
      <w:r>
        <w:rPr>
          <w:i/>
          <w:iCs/>
          <w:lang w:val="en-GB"/>
        </w:rPr>
        <w:t>condExecutionCondSCG</w:t>
      </w:r>
      <w:proofErr w:type="spellEnd"/>
      <w:r>
        <w:rPr>
          <w:lang w:val="en-GB"/>
        </w:rPr>
        <w:t xml:space="preserve"> associated to a </w:t>
      </w:r>
      <w:r>
        <w:rPr>
          <w:i/>
          <w:iCs/>
          <w:lang w:val="en-GB"/>
        </w:rPr>
        <w:t>condReconfigId</w:t>
      </w:r>
      <w:r>
        <w:rPr>
          <w:lang w:val="en-GB"/>
        </w:rPr>
        <w:t xml:space="preserve"> in the MCG </w:t>
      </w:r>
      <w:r>
        <w:rPr>
          <w:i/>
          <w:iCs/>
          <w:lang w:val="en-GB"/>
        </w:rPr>
        <w:t>VarConditionalReconfig</w:t>
      </w:r>
      <w:r>
        <w:rPr>
          <w:lang w:val="en-GB"/>
        </w:rPr>
        <w:t xml:space="preserve"> (for SN-initiated inter-SN CPC or subsequent CPAC in NR-DC); or</w:t>
      </w:r>
    </w:p>
    <w:p w14:paraId="3F7CA417" w14:textId="77777777" w:rsidR="00EA075A" w:rsidRDefault="00EA075A" w:rsidP="00EA075A">
      <w:pPr>
        <w:pStyle w:val="B2"/>
        <w:rPr>
          <w:lang w:val="en-GB"/>
        </w:rPr>
      </w:pPr>
      <w:r>
        <w:rPr>
          <w:lang w:val="en-GB"/>
        </w:rPr>
        <w:t xml:space="preserve">2&gt; if the </w:t>
      </w:r>
      <w:r>
        <w:rPr>
          <w:i/>
          <w:iCs/>
          <w:lang w:val="en-GB"/>
        </w:rPr>
        <w:t>reportType</w:t>
      </w:r>
      <w:r>
        <w:rPr>
          <w:lang w:val="en-GB"/>
        </w:rPr>
        <w:t xml:space="preserve"> for the associated </w:t>
      </w:r>
      <w:r>
        <w:rPr>
          <w:i/>
          <w:iCs/>
          <w:lang w:val="en-GB"/>
        </w:rPr>
        <w:t>reportConfig</w:t>
      </w:r>
      <w:r>
        <w:rPr>
          <w:lang w:val="en-GB"/>
        </w:rPr>
        <w:t xml:space="preserve"> is </w:t>
      </w:r>
      <w:r>
        <w:rPr>
          <w:i/>
          <w:iCs/>
          <w:lang w:val="en-GB"/>
        </w:rPr>
        <w:t>condTriggerConfig</w:t>
      </w:r>
      <w:r>
        <w:rPr>
          <w:lang w:val="en-GB"/>
        </w:rPr>
        <w:t xml:space="preserve">, the </w:t>
      </w:r>
      <w:r>
        <w:rPr>
          <w:i/>
          <w:iCs/>
          <w:lang w:val="en-GB"/>
        </w:rPr>
        <w:t>measId</w:t>
      </w:r>
      <w:r>
        <w:rPr>
          <w:lang w:val="en-GB"/>
        </w:rPr>
        <w:t xml:space="preserve"> is within the SCG </w:t>
      </w:r>
      <w:r>
        <w:rPr>
          <w:i/>
          <w:iCs/>
          <w:lang w:val="en-GB"/>
        </w:rPr>
        <w:t>VarMeasConfig</w:t>
      </w:r>
      <w:r>
        <w:rPr>
          <w:lang w:val="en-GB"/>
        </w:rPr>
        <w:t xml:space="preserve"> and is indicated in the </w:t>
      </w:r>
      <w:proofErr w:type="spellStart"/>
      <w:r>
        <w:rPr>
          <w:i/>
          <w:iCs/>
          <w:lang w:val="en-GB"/>
        </w:rPr>
        <w:t>triggerConditionSN</w:t>
      </w:r>
      <w:proofErr w:type="spellEnd"/>
      <w:r>
        <w:rPr>
          <w:lang w:val="en-GB"/>
        </w:rPr>
        <w:t xml:space="preserve"> associated to a </w:t>
      </w:r>
      <w:proofErr w:type="spellStart"/>
      <w:r>
        <w:rPr>
          <w:i/>
          <w:iCs/>
          <w:lang w:val="en-GB"/>
        </w:rPr>
        <w:t>condReconfigurationId</w:t>
      </w:r>
      <w:proofErr w:type="spellEnd"/>
      <w:r>
        <w:rPr>
          <w:lang w:val="en-GB"/>
        </w:rPr>
        <w:t xml:space="preserve"> in </w:t>
      </w:r>
      <w:proofErr w:type="spellStart"/>
      <w:r>
        <w:rPr>
          <w:i/>
          <w:iCs/>
          <w:lang w:val="en-GB"/>
        </w:rPr>
        <w:t>VarConditionalReconfiguration</w:t>
      </w:r>
      <w:proofErr w:type="spellEnd"/>
      <w:r>
        <w:rPr>
          <w:lang w:val="en-GB"/>
        </w:rPr>
        <w:t xml:space="preserve"> as specified in TS 36.331 [10] (for SN-initiated inter-SN CPC in EN-DC):</w:t>
      </w:r>
    </w:p>
    <w:p w14:paraId="2BAFE0F2" w14:textId="77777777" w:rsidR="00EA075A" w:rsidRDefault="00EA075A" w:rsidP="00EA075A">
      <w:pPr>
        <w:pStyle w:val="B3"/>
        <w:rPr>
          <w:lang w:val="en-GB"/>
        </w:rPr>
      </w:pPr>
      <w:r>
        <w:rPr>
          <w:lang w:val="en-GB"/>
        </w:rPr>
        <w:t>3&gt; if a measurement gap configuration is setup, or</w:t>
      </w:r>
    </w:p>
    <w:p w14:paraId="15556E8C" w14:textId="77777777" w:rsidR="00EA075A" w:rsidRDefault="00EA075A" w:rsidP="00EA075A">
      <w:pPr>
        <w:pStyle w:val="B3"/>
        <w:rPr>
          <w:lang w:val="en-GB"/>
        </w:rPr>
      </w:pPr>
      <w:r>
        <w:rPr>
          <w:lang w:val="en-GB"/>
        </w:rPr>
        <w:t>3&gt; if the UE does not require measurement gaps to perform the concerned measurements:</w:t>
      </w:r>
    </w:p>
    <w:p w14:paraId="097EA10B" w14:textId="77777777" w:rsidR="00EA075A" w:rsidRDefault="00EA075A" w:rsidP="00EA075A">
      <w:pPr>
        <w:pStyle w:val="B4"/>
      </w:pPr>
      <w:r>
        <w:t xml:space="preserve">4&gt; if </w:t>
      </w:r>
      <w:r>
        <w:rPr>
          <w:i/>
          <w:iCs/>
        </w:rPr>
        <w:t>s-</w:t>
      </w:r>
      <w:proofErr w:type="spellStart"/>
      <w:r>
        <w:rPr>
          <w:i/>
          <w:iCs/>
        </w:rPr>
        <w:t>MeasureConfig</w:t>
      </w:r>
      <w:proofErr w:type="spellEnd"/>
      <w:r>
        <w:t xml:space="preserve"> is not configured, or</w:t>
      </w:r>
    </w:p>
    <w:p w14:paraId="59F4CE9A" w14:textId="77777777" w:rsidR="00EA075A" w:rsidRDefault="00EA075A" w:rsidP="00EA075A">
      <w:pPr>
        <w:pStyle w:val="B4"/>
      </w:pPr>
      <w:r>
        <w:t xml:space="preserve">4&gt; if </w:t>
      </w:r>
      <w:r>
        <w:rPr>
          <w:i/>
          <w:iCs/>
        </w:rPr>
        <w:t>s-</w:t>
      </w:r>
      <w:proofErr w:type="spellStart"/>
      <w:r>
        <w:rPr>
          <w:i/>
          <w:iCs/>
        </w:rPr>
        <w:t>MeasureConfig</w:t>
      </w:r>
      <w:proofErr w:type="spellEnd"/>
      <w:r>
        <w:t xml:space="preserve"> is set to </w:t>
      </w:r>
      <w:r>
        <w:rPr>
          <w:i/>
          <w:iCs/>
        </w:rPr>
        <w:t xml:space="preserve">ssb-RSRP </w:t>
      </w:r>
      <w:r>
        <w:t xml:space="preserve">and the NR SpCell RSRP based on SS/PBCH block, after layer 3 filtering, is lower than </w:t>
      </w:r>
      <w:r>
        <w:rPr>
          <w:i/>
          <w:iCs/>
        </w:rPr>
        <w:t xml:space="preserve">ssb-RSRP, </w:t>
      </w:r>
      <w:r>
        <w:t>or</w:t>
      </w:r>
    </w:p>
    <w:p w14:paraId="1FA6DF36" w14:textId="77777777" w:rsidR="00EA075A" w:rsidRDefault="00EA075A" w:rsidP="00EA075A">
      <w:pPr>
        <w:pStyle w:val="B4"/>
      </w:pPr>
      <w:r>
        <w:t xml:space="preserve">4&gt; if </w:t>
      </w:r>
      <w:r>
        <w:rPr>
          <w:i/>
          <w:iCs/>
        </w:rPr>
        <w:t>s-</w:t>
      </w:r>
      <w:proofErr w:type="spellStart"/>
      <w:r>
        <w:rPr>
          <w:i/>
          <w:iCs/>
        </w:rPr>
        <w:t>MeasureConfig</w:t>
      </w:r>
      <w:proofErr w:type="spellEnd"/>
      <w:r>
        <w:rPr>
          <w:i/>
          <w:iCs/>
        </w:rPr>
        <w:t xml:space="preserve"> </w:t>
      </w:r>
      <w:r>
        <w:t xml:space="preserve">is set to </w:t>
      </w:r>
      <w:r>
        <w:rPr>
          <w:i/>
          <w:iCs/>
        </w:rPr>
        <w:t xml:space="preserve">csi-RSRP </w:t>
      </w:r>
      <w:r>
        <w:t xml:space="preserve">and the NR SpCell RSRP based on CSI-RS, after layer 3 filtering, is lower than </w:t>
      </w:r>
      <w:r>
        <w:rPr>
          <w:i/>
          <w:iCs/>
        </w:rPr>
        <w:t>csi-RSRP</w:t>
      </w:r>
      <w:r>
        <w:t>:</w:t>
      </w:r>
    </w:p>
    <w:p w14:paraId="5FCDD85B" w14:textId="77777777" w:rsidR="00EA075A" w:rsidRDefault="00EA075A" w:rsidP="00EA075A">
      <w:pPr>
        <w:pStyle w:val="B5"/>
      </w:pPr>
      <w:r>
        <w:t xml:space="preserve">5&gt; if the </w:t>
      </w:r>
      <w:r>
        <w:rPr>
          <w:i/>
          <w:iCs/>
        </w:rPr>
        <w:t>measObject</w:t>
      </w:r>
      <w:r>
        <w:t xml:space="preserve"> is associated to NR and the </w:t>
      </w:r>
      <w:proofErr w:type="spellStart"/>
      <w:r>
        <w:rPr>
          <w:i/>
          <w:iCs/>
        </w:rPr>
        <w:t>rsType</w:t>
      </w:r>
      <w:proofErr w:type="spellEnd"/>
      <w:r>
        <w:t xml:space="preserve"> is set to </w:t>
      </w:r>
      <w:r>
        <w:rPr>
          <w:i/>
          <w:iCs/>
        </w:rPr>
        <w:t>csi-</w:t>
      </w:r>
      <w:proofErr w:type="spellStart"/>
      <w:r>
        <w:rPr>
          <w:i/>
          <w:iCs/>
        </w:rPr>
        <w:t>rs</w:t>
      </w:r>
      <w:proofErr w:type="spellEnd"/>
      <w:r>
        <w:t>:</w:t>
      </w:r>
    </w:p>
    <w:p w14:paraId="76F20EAB" w14:textId="77777777" w:rsidR="00EA075A" w:rsidRDefault="00EA075A" w:rsidP="00EA075A">
      <w:pPr>
        <w:pStyle w:val="B6"/>
        <w:rPr>
          <w:lang w:val="en-GB"/>
        </w:rPr>
      </w:pPr>
      <w:r>
        <w:rPr>
          <w:lang w:val="en-GB"/>
        </w:rPr>
        <w:t xml:space="preserve">6&gt; if </w:t>
      </w:r>
      <w:proofErr w:type="spellStart"/>
      <w:r>
        <w:rPr>
          <w:lang w:val="en-GB"/>
        </w:rPr>
        <w:t>reportQuantityRS</w:t>
      </w:r>
      <w:proofErr w:type="spellEnd"/>
      <w:r>
        <w:rPr>
          <w:lang w:val="en-GB"/>
        </w:rPr>
        <w:t xml:space="preserve">-Indexes and </w:t>
      </w:r>
      <w:proofErr w:type="spellStart"/>
      <w:r>
        <w:rPr>
          <w:lang w:val="en-GB"/>
        </w:rPr>
        <w:t>maxNrofRS-IndexesToReport</w:t>
      </w:r>
      <w:proofErr w:type="spellEnd"/>
      <w:r>
        <w:rPr>
          <w:lang w:val="en-GB"/>
        </w:rPr>
        <w:t xml:space="preserve"> for the associated reportConfig are configured:</w:t>
      </w:r>
    </w:p>
    <w:p w14:paraId="3F29C0BD" w14:textId="77777777" w:rsidR="00EA075A" w:rsidRDefault="00EA075A" w:rsidP="00EA075A">
      <w:pPr>
        <w:pStyle w:val="B7"/>
        <w:rPr>
          <w:lang w:val="en-GB"/>
        </w:rPr>
      </w:pPr>
      <w:r>
        <w:rPr>
          <w:lang w:val="en-GB"/>
        </w:rPr>
        <w:t xml:space="preserve">7&gt; derive layer 3 filtered beam measurements only based on CSI-RS for each measurement quantity indicated in </w:t>
      </w:r>
      <w:proofErr w:type="spellStart"/>
      <w:r>
        <w:rPr>
          <w:i/>
          <w:iCs/>
          <w:lang w:val="en-GB"/>
        </w:rPr>
        <w:t>reportQuantityRS</w:t>
      </w:r>
      <w:proofErr w:type="spellEnd"/>
      <w:r>
        <w:rPr>
          <w:i/>
          <w:iCs/>
          <w:lang w:val="en-GB"/>
        </w:rPr>
        <w:t>-Indexes</w:t>
      </w:r>
      <w:r>
        <w:rPr>
          <w:lang w:val="en-GB"/>
        </w:rPr>
        <w:t>, as described in 5.5.3.3a;</w:t>
      </w:r>
    </w:p>
    <w:p w14:paraId="3FD3EE00" w14:textId="77777777" w:rsidR="00EA075A" w:rsidRDefault="00EA075A" w:rsidP="00EA075A">
      <w:pPr>
        <w:pStyle w:val="B6"/>
        <w:rPr>
          <w:lang w:val="en-GB"/>
        </w:rPr>
      </w:pPr>
      <w:r>
        <w:rPr>
          <w:lang w:val="en-GB"/>
        </w:rPr>
        <w:t xml:space="preserve">6&gt; derive cell measurement results based on CSI-RS for the trigger quantity and each measurement quantity indicated in </w:t>
      </w:r>
      <w:proofErr w:type="spellStart"/>
      <w:r>
        <w:rPr>
          <w:i/>
          <w:iCs/>
          <w:lang w:val="en-GB"/>
        </w:rPr>
        <w:t>reportQuantityCell</w:t>
      </w:r>
      <w:proofErr w:type="spellEnd"/>
      <w:r>
        <w:rPr>
          <w:lang w:val="en-GB"/>
        </w:rPr>
        <w:t xml:space="preserve"> using parameters from the associated </w:t>
      </w:r>
      <w:r>
        <w:rPr>
          <w:i/>
          <w:iCs/>
          <w:lang w:val="en-GB"/>
        </w:rPr>
        <w:t>measObject</w:t>
      </w:r>
      <w:r>
        <w:rPr>
          <w:lang w:val="en-GB"/>
        </w:rPr>
        <w:t>, as described in 5.5.3.3;</w:t>
      </w:r>
    </w:p>
    <w:p w14:paraId="405E3996" w14:textId="77777777" w:rsidR="00EA075A" w:rsidRDefault="00EA075A" w:rsidP="00EA075A">
      <w:pPr>
        <w:pStyle w:val="B5"/>
      </w:pPr>
      <w:r>
        <w:t xml:space="preserve">5&gt; if the </w:t>
      </w:r>
      <w:r>
        <w:rPr>
          <w:i/>
          <w:iCs/>
        </w:rPr>
        <w:t>measObject</w:t>
      </w:r>
      <w:r>
        <w:t xml:space="preserve"> is associated to NR and the </w:t>
      </w:r>
      <w:proofErr w:type="spellStart"/>
      <w:r>
        <w:rPr>
          <w:i/>
          <w:iCs/>
        </w:rPr>
        <w:t>rsType</w:t>
      </w:r>
      <w:proofErr w:type="spellEnd"/>
      <w:r>
        <w:t xml:space="preserve"> is set to </w:t>
      </w:r>
      <w:r>
        <w:rPr>
          <w:i/>
          <w:iCs/>
        </w:rPr>
        <w:t>ssb</w:t>
      </w:r>
      <w:r>
        <w:t>:</w:t>
      </w:r>
    </w:p>
    <w:p w14:paraId="79D4032F" w14:textId="77777777" w:rsidR="00EA075A" w:rsidRDefault="00EA075A" w:rsidP="00EA075A">
      <w:pPr>
        <w:pStyle w:val="B6"/>
        <w:rPr>
          <w:lang w:val="en-GB"/>
        </w:rPr>
      </w:pPr>
      <w:r>
        <w:rPr>
          <w:lang w:val="en-GB"/>
        </w:rPr>
        <w:t xml:space="preserve">6&gt; if </w:t>
      </w:r>
      <w:proofErr w:type="spellStart"/>
      <w:r>
        <w:rPr>
          <w:lang w:val="en-GB"/>
        </w:rPr>
        <w:t>reportQuantityRS</w:t>
      </w:r>
      <w:proofErr w:type="spellEnd"/>
      <w:r>
        <w:rPr>
          <w:lang w:val="en-GB"/>
        </w:rPr>
        <w:t xml:space="preserve">-Indexes and </w:t>
      </w:r>
      <w:proofErr w:type="spellStart"/>
      <w:r>
        <w:rPr>
          <w:lang w:val="en-GB"/>
        </w:rPr>
        <w:t>maxNrofRS-IndexesToReport</w:t>
      </w:r>
      <w:proofErr w:type="spellEnd"/>
      <w:r>
        <w:rPr>
          <w:lang w:val="en-GB"/>
        </w:rPr>
        <w:t xml:space="preserve"> for the associated reportConfig are configured:</w:t>
      </w:r>
    </w:p>
    <w:p w14:paraId="558B1E28" w14:textId="77777777" w:rsidR="00EA075A" w:rsidRDefault="00EA075A" w:rsidP="00EA075A">
      <w:pPr>
        <w:pStyle w:val="B7"/>
        <w:rPr>
          <w:lang w:val="en-GB"/>
        </w:rPr>
      </w:pPr>
      <w:r>
        <w:rPr>
          <w:lang w:val="en-GB"/>
        </w:rPr>
        <w:t xml:space="preserve">7&gt; derive layer 3 beam measurements only based on SS/PBCH block for each measurement quantity indicated in </w:t>
      </w:r>
      <w:proofErr w:type="spellStart"/>
      <w:r>
        <w:rPr>
          <w:i/>
          <w:iCs/>
          <w:lang w:val="en-GB"/>
        </w:rPr>
        <w:t>reportQuantityRS</w:t>
      </w:r>
      <w:proofErr w:type="spellEnd"/>
      <w:r>
        <w:rPr>
          <w:i/>
          <w:iCs/>
          <w:lang w:val="en-GB"/>
        </w:rPr>
        <w:t>-Indexes</w:t>
      </w:r>
      <w:r>
        <w:rPr>
          <w:lang w:val="en-GB"/>
        </w:rPr>
        <w:t>, as described in 5.5.3.3a;</w:t>
      </w:r>
    </w:p>
    <w:p w14:paraId="5510B694" w14:textId="77777777" w:rsidR="00EA075A" w:rsidRDefault="00EA075A" w:rsidP="00EA075A">
      <w:pPr>
        <w:pStyle w:val="B6"/>
        <w:rPr>
          <w:lang w:val="en-GB"/>
        </w:rPr>
      </w:pPr>
      <w:r>
        <w:rPr>
          <w:lang w:val="en-GB"/>
        </w:rPr>
        <w:t xml:space="preserve">6&gt; derive cell measurement results based on SS/PBCH block for the trigger quantity and each measurement quantity indicated in </w:t>
      </w:r>
      <w:proofErr w:type="spellStart"/>
      <w:r>
        <w:rPr>
          <w:i/>
          <w:iCs/>
          <w:lang w:val="en-GB"/>
        </w:rPr>
        <w:t>reportQuantityCell</w:t>
      </w:r>
      <w:proofErr w:type="spellEnd"/>
      <w:r>
        <w:rPr>
          <w:lang w:val="en-GB"/>
        </w:rPr>
        <w:t xml:space="preserve"> using parameters from the associated </w:t>
      </w:r>
      <w:r>
        <w:rPr>
          <w:i/>
          <w:iCs/>
          <w:lang w:val="en-GB"/>
        </w:rPr>
        <w:t>measObject</w:t>
      </w:r>
      <w:r>
        <w:rPr>
          <w:lang w:val="en-GB"/>
        </w:rPr>
        <w:t>, as described in 5.5.3.3;</w:t>
      </w:r>
    </w:p>
    <w:p w14:paraId="7D3921A1" w14:textId="77777777" w:rsidR="00EA075A" w:rsidRDefault="00EA075A" w:rsidP="00EA075A">
      <w:pPr>
        <w:pStyle w:val="B5"/>
      </w:pPr>
      <w:r>
        <w:t xml:space="preserve">5&gt; if the </w:t>
      </w:r>
      <w:r>
        <w:rPr>
          <w:i/>
          <w:iCs/>
        </w:rPr>
        <w:t>measObject</w:t>
      </w:r>
      <w:r>
        <w:t xml:space="preserve"> is associated to E-UTRA:</w:t>
      </w:r>
    </w:p>
    <w:p w14:paraId="13CC23D6" w14:textId="77777777" w:rsidR="00EA075A" w:rsidRDefault="00EA075A" w:rsidP="00EA075A">
      <w:pPr>
        <w:pStyle w:val="B6"/>
        <w:rPr>
          <w:lang w:val="en-GB"/>
        </w:rPr>
      </w:pPr>
      <w:r>
        <w:rPr>
          <w:lang w:val="en-GB"/>
        </w:rPr>
        <w:t xml:space="preserve">6&gt; perform the corresponding measurements associated to neighbouring cells on the frequencies indicated in the concerned </w:t>
      </w:r>
      <w:r>
        <w:rPr>
          <w:i/>
          <w:iCs/>
          <w:lang w:val="en-GB"/>
        </w:rPr>
        <w:t>measObject</w:t>
      </w:r>
      <w:r>
        <w:rPr>
          <w:lang w:val="en-GB"/>
        </w:rPr>
        <w:t>, as described in 5.5.3.2;</w:t>
      </w:r>
    </w:p>
    <w:p w14:paraId="19879672" w14:textId="77777777" w:rsidR="00EA075A" w:rsidRDefault="00EA075A" w:rsidP="00EA075A">
      <w:pPr>
        <w:pStyle w:val="B5"/>
      </w:pPr>
      <w:r>
        <w:t>5&gt; if the measObject is associated to UTRA-FDD:</w:t>
      </w:r>
    </w:p>
    <w:p w14:paraId="01A354C1" w14:textId="77777777" w:rsidR="00EA075A" w:rsidRDefault="00EA075A" w:rsidP="00EA075A">
      <w:pPr>
        <w:pStyle w:val="B6"/>
        <w:rPr>
          <w:lang w:val="en-GB"/>
        </w:rPr>
      </w:pPr>
      <w:r>
        <w:rPr>
          <w:lang w:val="en-GB"/>
        </w:rPr>
        <w:t xml:space="preserve">6&gt; perform the corresponding measurements associated to neighbouring cells on the frequencies indicated in the concerned </w:t>
      </w:r>
      <w:r>
        <w:rPr>
          <w:i/>
          <w:iCs/>
          <w:lang w:val="en-GB"/>
        </w:rPr>
        <w:t>measObject</w:t>
      </w:r>
      <w:r>
        <w:rPr>
          <w:lang w:val="en-GB"/>
        </w:rPr>
        <w:t>, as described in 5.5.3.2;</w:t>
      </w:r>
    </w:p>
    <w:p w14:paraId="71F73292" w14:textId="77777777" w:rsidR="00EA075A" w:rsidRDefault="00EA075A" w:rsidP="00EA075A">
      <w:pPr>
        <w:pStyle w:val="B5"/>
      </w:pPr>
      <w:r>
        <w:t>5&gt; if the measObject is associated to L2 U2N Relay UE:</w:t>
      </w:r>
    </w:p>
    <w:p w14:paraId="335C0FAA" w14:textId="77777777" w:rsidR="00EA075A" w:rsidRDefault="00EA075A" w:rsidP="00EA075A">
      <w:pPr>
        <w:pStyle w:val="B6"/>
        <w:rPr>
          <w:lang w:val="en-GB"/>
        </w:rPr>
      </w:pPr>
      <w:r>
        <w:rPr>
          <w:lang w:val="en-GB"/>
        </w:rPr>
        <w:lastRenderedPageBreak/>
        <w:t xml:space="preserve">6&gt; perform the corresponding measurements associated to candidate Relay UEs on the frequencies indicated in the concerned </w:t>
      </w:r>
      <w:r>
        <w:rPr>
          <w:i/>
          <w:iCs/>
          <w:lang w:val="en-GB"/>
        </w:rPr>
        <w:t>measObject</w:t>
      </w:r>
      <w:r>
        <w:rPr>
          <w:lang w:val="en-GB"/>
        </w:rPr>
        <w:t>, as described in 5.5.3.4;</w:t>
      </w:r>
    </w:p>
    <w:p w14:paraId="6DD1BF1A" w14:textId="77777777" w:rsidR="00EA075A" w:rsidRDefault="00EA075A" w:rsidP="00EA075A">
      <w:pPr>
        <w:pStyle w:val="B4"/>
      </w:pPr>
      <w:r>
        <w:t xml:space="preserve">4&gt; if the </w:t>
      </w:r>
      <w:r>
        <w:rPr>
          <w:i/>
          <w:iCs/>
        </w:rPr>
        <w:t>measRSSI-ReportConfig</w:t>
      </w:r>
      <w:r>
        <w:t xml:space="preserve"> is configured in the associated </w:t>
      </w:r>
      <w:r>
        <w:rPr>
          <w:i/>
          <w:iCs/>
        </w:rPr>
        <w:t>reportConfig</w:t>
      </w:r>
      <w:r>
        <w:t>:</w:t>
      </w:r>
    </w:p>
    <w:p w14:paraId="229D3A30" w14:textId="77777777" w:rsidR="00EA075A" w:rsidRDefault="00EA075A" w:rsidP="00EA075A">
      <w:pPr>
        <w:pStyle w:val="B5"/>
      </w:pPr>
      <w:r>
        <w:t xml:space="preserve">5&gt; perform the RSSI and channel occupancy measurements on the frequency configured by </w:t>
      </w:r>
      <w:r>
        <w:rPr>
          <w:i/>
          <w:iCs/>
        </w:rPr>
        <w:t>rmtc-Frequency</w:t>
      </w:r>
      <w:r>
        <w:t xml:space="preserve"> in the associated </w:t>
      </w:r>
      <w:r>
        <w:rPr>
          <w:i/>
          <w:iCs/>
        </w:rPr>
        <w:t>measObject</w:t>
      </w:r>
      <w:r>
        <w:t>;</w:t>
      </w:r>
    </w:p>
    <w:p w14:paraId="04CE1317" w14:textId="77777777" w:rsidR="00EA075A" w:rsidRDefault="00EA075A" w:rsidP="00EA075A">
      <w:pPr>
        <w:pStyle w:val="NO"/>
        <w:rPr>
          <w:lang w:val="en-GB"/>
        </w:rPr>
      </w:pPr>
      <w:r>
        <w:rPr>
          <w:lang w:val="en-GB"/>
        </w:rPr>
        <w:t>NOTE 0: The network avoids configuring UEs supporting only CHO and/or Rel-16 CPC with measurements not referred to by any execution condition.</w:t>
      </w:r>
    </w:p>
    <w:p w14:paraId="70BF100D" w14:textId="77777777" w:rsidR="00EA075A" w:rsidRDefault="00EA075A" w:rsidP="00EA075A">
      <w:pPr>
        <w:pStyle w:val="B2"/>
        <w:rPr>
          <w:lang w:val="en-GB"/>
        </w:rPr>
      </w:pPr>
      <w:r>
        <w:rPr>
          <w:lang w:val="en-GB"/>
        </w:rPr>
        <w:t xml:space="preserve">2&gt; if the </w:t>
      </w:r>
      <w:r>
        <w:rPr>
          <w:i/>
          <w:iCs/>
          <w:lang w:val="en-GB"/>
        </w:rPr>
        <w:t>reportType</w:t>
      </w:r>
      <w:r>
        <w:rPr>
          <w:lang w:val="en-GB"/>
        </w:rPr>
        <w:t xml:space="preserve"> for the associated </w:t>
      </w:r>
      <w:r>
        <w:rPr>
          <w:i/>
          <w:iCs/>
          <w:lang w:val="en-GB"/>
        </w:rPr>
        <w:t>reportConfig</w:t>
      </w:r>
      <w:r>
        <w:rPr>
          <w:lang w:val="en-GB"/>
        </w:rPr>
        <w:t xml:space="preserve"> is set to </w:t>
      </w:r>
      <w:proofErr w:type="spellStart"/>
      <w:r>
        <w:rPr>
          <w:i/>
          <w:iCs/>
          <w:lang w:val="en-GB"/>
        </w:rPr>
        <w:t>reportSFTD</w:t>
      </w:r>
      <w:proofErr w:type="spellEnd"/>
      <w:r>
        <w:rPr>
          <w:i/>
          <w:iCs/>
          <w:lang w:val="en-GB"/>
        </w:rPr>
        <w:t xml:space="preserve"> </w:t>
      </w:r>
      <w:r>
        <w:rPr>
          <w:lang w:val="en-GB"/>
        </w:rPr>
        <w:t xml:space="preserve">and the </w:t>
      </w:r>
      <w:r>
        <w:rPr>
          <w:i/>
          <w:iCs/>
          <w:lang w:val="en-GB"/>
        </w:rPr>
        <w:t>numberOfReportsSent</w:t>
      </w:r>
      <w:r>
        <w:rPr>
          <w:lang w:val="en-GB"/>
        </w:rPr>
        <w:t xml:space="preserve"> as defined within the </w:t>
      </w:r>
      <w:r>
        <w:rPr>
          <w:i/>
          <w:iCs/>
          <w:lang w:val="en-GB"/>
        </w:rPr>
        <w:t>VarMeasReportList</w:t>
      </w:r>
      <w:r>
        <w:rPr>
          <w:lang w:val="en-GB"/>
        </w:rPr>
        <w:t xml:space="preserve"> for this </w:t>
      </w:r>
      <w:r>
        <w:rPr>
          <w:i/>
          <w:iCs/>
          <w:lang w:val="en-GB"/>
        </w:rPr>
        <w:t>measId</w:t>
      </w:r>
      <w:r>
        <w:rPr>
          <w:lang w:val="en-GB"/>
        </w:rPr>
        <w:t xml:space="preserve"> is less than one:</w:t>
      </w:r>
    </w:p>
    <w:p w14:paraId="6CD7B37D" w14:textId="77777777" w:rsidR="00EA075A" w:rsidRDefault="00EA075A" w:rsidP="00EA075A">
      <w:pPr>
        <w:pStyle w:val="B3"/>
        <w:rPr>
          <w:lang w:val="en-GB"/>
        </w:rPr>
      </w:pPr>
      <w:r>
        <w:rPr>
          <w:lang w:val="en-GB"/>
        </w:rPr>
        <w:t xml:space="preserve">3&gt; if the </w:t>
      </w:r>
      <w:proofErr w:type="spellStart"/>
      <w:r>
        <w:rPr>
          <w:i/>
          <w:iCs/>
          <w:lang w:val="en-GB"/>
        </w:rPr>
        <w:t>reportSFTD</w:t>
      </w:r>
      <w:proofErr w:type="spellEnd"/>
      <w:r>
        <w:rPr>
          <w:i/>
          <w:iCs/>
          <w:lang w:val="en-GB"/>
        </w:rPr>
        <w:t>-Meas</w:t>
      </w:r>
      <w:r>
        <w:rPr>
          <w:lang w:val="en-GB"/>
        </w:rPr>
        <w:t xml:space="preserve"> is set to </w:t>
      </w:r>
      <w:r>
        <w:rPr>
          <w:i/>
          <w:iCs/>
          <w:lang w:val="en-GB"/>
        </w:rPr>
        <w:t>true:</w:t>
      </w:r>
    </w:p>
    <w:p w14:paraId="2A0DAA7D" w14:textId="77777777" w:rsidR="00EA075A" w:rsidRDefault="00EA075A" w:rsidP="00EA075A">
      <w:pPr>
        <w:pStyle w:val="B4"/>
      </w:pPr>
      <w:r>
        <w:t xml:space="preserve">4&gt; if the </w:t>
      </w:r>
      <w:r>
        <w:rPr>
          <w:i/>
          <w:iCs/>
        </w:rPr>
        <w:t>measObject</w:t>
      </w:r>
      <w:r>
        <w:t xml:space="preserve"> is associated to E-UTRA:</w:t>
      </w:r>
    </w:p>
    <w:p w14:paraId="69523C6C" w14:textId="77777777" w:rsidR="00EA075A" w:rsidRDefault="00EA075A" w:rsidP="00EA075A">
      <w:pPr>
        <w:pStyle w:val="B5"/>
      </w:pPr>
      <w:r>
        <w:t>5&gt; perform SFTD measurements between the PCell and the E-UTRA PSCell;</w:t>
      </w:r>
    </w:p>
    <w:p w14:paraId="12E4F239" w14:textId="77777777" w:rsidR="00EA075A" w:rsidRDefault="00EA075A" w:rsidP="00EA075A">
      <w:pPr>
        <w:pStyle w:val="B5"/>
      </w:pPr>
      <w:r>
        <w:t xml:space="preserve">5&gt; if the </w:t>
      </w:r>
      <w:r>
        <w:rPr>
          <w:i/>
          <w:iCs/>
        </w:rPr>
        <w:t>reportRSRP</w:t>
      </w:r>
      <w:r>
        <w:t xml:space="preserve"> is set to </w:t>
      </w:r>
      <w:r>
        <w:rPr>
          <w:i/>
          <w:iCs/>
        </w:rPr>
        <w:t>true</w:t>
      </w:r>
      <w:r>
        <w:t>;</w:t>
      </w:r>
    </w:p>
    <w:p w14:paraId="742D3943" w14:textId="77777777" w:rsidR="00EA075A" w:rsidRDefault="00EA075A" w:rsidP="00EA075A">
      <w:pPr>
        <w:pStyle w:val="B6"/>
        <w:rPr>
          <w:lang w:val="en-GB"/>
        </w:rPr>
      </w:pPr>
      <w:r>
        <w:rPr>
          <w:lang w:val="en-GB"/>
        </w:rPr>
        <w:t>6&gt; perform RSRP measurements for the E-UTRA PSCell;</w:t>
      </w:r>
    </w:p>
    <w:p w14:paraId="05FAC743" w14:textId="77777777" w:rsidR="00EA075A" w:rsidRDefault="00EA075A" w:rsidP="00EA075A">
      <w:pPr>
        <w:pStyle w:val="B4"/>
      </w:pPr>
      <w:r>
        <w:t xml:space="preserve">4&gt; else if the </w:t>
      </w:r>
      <w:r>
        <w:rPr>
          <w:i/>
          <w:iCs/>
        </w:rPr>
        <w:t>measObject</w:t>
      </w:r>
      <w:r>
        <w:t xml:space="preserve"> is associated to NR:</w:t>
      </w:r>
    </w:p>
    <w:p w14:paraId="00BB1C00" w14:textId="77777777" w:rsidR="00EA075A" w:rsidRDefault="00EA075A" w:rsidP="00EA075A">
      <w:pPr>
        <w:pStyle w:val="B5"/>
      </w:pPr>
      <w:r>
        <w:t>5&gt; perform SFTD measurements between the PCell and the NR PSCell;</w:t>
      </w:r>
    </w:p>
    <w:p w14:paraId="252DEA7E" w14:textId="77777777" w:rsidR="00EA075A" w:rsidRDefault="00EA075A" w:rsidP="00EA075A">
      <w:pPr>
        <w:pStyle w:val="B5"/>
      </w:pPr>
      <w:r>
        <w:t xml:space="preserve">5&gt; if the </w:t>
      </w:r>
      <w:r>
        <w:rPr>
          <w:i/>
          <w:iCs/>
        </w:rPr>
        <w:t>reportRSRP</w:t>
      </w:r>
      <w:r>
        <w:t xml:space="preserve"> is set to </w:t>
      </w:r>
      <w:r>
        <w:rPr>
          <w:i/>
          <w:iCs/>
        </w:rPr>
        <w:t>true</w:t>
      </w:r>
      <w:r>
        <w:t>;</w:t>
      </w:r>
    </w:p>
    <w:p w14:paraId="6D89A9FB" w14:textId="77777777" w:rsidR="00EA075A" w:rsidRDefault="00EA075A" w:rsidP="00EA075A">
      <w:pPr>
        <w:pStyle w:val="B6"/>
        <w:rPr>
          <w:lang w:val="en-GB"/>
        </w:rPr>
      </w:pPr>
      <w:r>
        <w:rPr>
          <w:lang w:val="en-GB"/>
        </w:rPr>
        <w:t>6&gt; perform RSRP measurements for the NR PSCell based on SSB;</w:t>
      </w:r>
    </w:p>
    <w:p w14:paraId="554AEF17" w14:textId="77777777" w:rsidR="00EA075A" w:rsidRDefault="00EA075A" w:rsidP="00EA075A">
      <w:pPr>
        <w:pStyle w:val="B3"/>
        <w:rPr>
          <w:lang w:val="en-GB"/>
        </w:rPr>
      </w:pPr>
      <w:r>
        <w:rPr>
          <w:lang w:val="en-GB"/>
        </w:rPr>
        <w:t xml:space="preserve">3&gt; else if the </w:t>
      </w:r>
      <w:proofErr w:type="spellStart"/>
      <w:r>
        <w:rPr>
          <w:i/>
          <w:iCs/>
          <w:lang w:val="en-GB"/>
        </w:rPr>
        <w:t>reportSFTD</w:t>
      </w:r>
      <w:proofErr w:type="spellEnd"/>
      <w:r>
        <w:rPr>
          <w:i/>
          <w:iCs/>
          <w:lang w:val="en-GB"/>
        </w:rPr>
        <w:t>-NeighMeas</w:t>
      </w:r>
      <w:r>
        <w:rPr>
          <w:lang w:val="en-GB"/>
        </w:rPr>
        <w:t xml:space="preserve"> is included</w:t>
      </w:r>
      <w:r>
        <w:rPr>
          <w:i/>
          <w:iCs/>
          <w:lang w:val="en-GB"/>
        </w:rPr>
        <w:t>:</w:t>
      </w:r>
    </w:p>
    <w:p w14:paraId="36C332FA" w14:textId="77777777" w:rsidR="00EA075A" w:rsidRDefault="00EA075A" w:rsidP="00EA075A">
      <w:pPr>
        <w:pStyle w:val="B4"/>
      </w:pPr>
      <w:r>
        <w:t xml:space="preserve">4&gt; if the </w:t>
      </w:r>
      <w:r>
        <w:rPr>
          <w:i/>
          <w:iCs/>
        </w:rPr>
        <w:t>measObject</w:t>
      </w:r>
      <w:r>
        <w:t xml:space="preserve"> is associated to NR:</w:t>
      </w:r>
    </w:p>
    <w:p w14:paraId="798770B1" w14:textId="77777777" w:rsidR="00EA075A" w:rsidRDefault="00EA075A" w:rsidP="00EA075A">
      <w:pPr>
        <w:pStyle w:val="B5"/>
      </w:pPr>
      <w:r>
        <w:t xml:space="preserve">5&gt; if the </w:t>
      </w:r>
      <w:r>
        <w:rPr>
          <w:i/>
          <w:iCs/>
        </w:rPr>
        <w:t>drx-SFTD-NeighMeas</w:t>
      </w:r>
      <w:r>
        <w:t xml:space="preserve"> is included:</w:t>
      </w:r>
    </w:p>
    <w:p w14:paraId="5BFB2844" w14:textId="77777777" w:rsidR="00EA075A" w:rsidRDefault="00EA075A" w:rsidP="00EA075A">
      <w:pPr>
        <w:pStyle w:val="B6"/>
        <w:rPr>
          <w:lang w:val="en-GB"/>
        </w:rPr>
      </w:pPr>
      <w:r>
        <w:rPr>
          <w:lang w:val="en-GB"/>
        </w:rPr>
        <w:t xml:space="preserve">6&gt; perform SFTD measurements between the PCell and the NR neighbouring cell(s) detected based on parameters in the associated </w:t>
      </w:r>
      <w:r>
        <w:rPr>
          <w:i/>
          <w:iCs/>
          <w:lang w:val="en-GB"/>
        </w:rPr>
        <w:t xml:space="preserve">measObject </w:t>
      </w:r>
      <w:r>
        <w:rPr>
          <w:lang w:val="en-GB"/>
        </w:rPr>
        <w:t>using available idle periods;</w:t>
      </w:r>
    </w:p>
    <w:p w14:paraId="4D449D2E" w14:textId="77777777" w:rsidR="00EA075A" w:rsidRDefault="00EA075A" w:rsidP="00EA075A">
      <w:pPr>
        <w:pStyle w:val="B5"/>
      </w:pPr>
      <w:r>
        <w:t>5&gt; else:</w:t>
      </w:r>
    </w:p>
    <w:p w14:paraId="5C4EDDCD" w14:textId="77777777" w:rsidR="00EA075A" w:rsidRDefault="00EA075A" w:rsidP="00EA075A">
      <w:pPr>
        <w:pStyle w:val="B6"/>
        <w:rPr>
          <w:lang w:val="en-GB"/>
        </w:rPr>
      </w:pPr>
      <w:r>
        <w:rPr>
          <w:lang w:val="en-GB"/>
        </w:rPr>
        <w:t xml:space="preserve">6&gt; perform SFTD measurements between the PCell and the NR neighbouring cell(s) detected based on parameters in the associated </w:t>
      </w:r>
      <w:r>
        <w:rPr>
          <w:i/>
          <w:iCs/>
          <w:lang w:val="en-GB"/>
        </w:rPr>
        <w:t>measObject</w:t>
      </w:r>
      <w:r>
        <w:rPr>
          <w:lang w:val="en-GB"/>
        </w:rPr>
        <w:t>;</w:t>
      </w:r>
    </w:p>
    <w:p w14:paraId="589FF77C" w14:textId="77777777" w:rsidR="00EA075A" w:rsidRDefault="00EA075A" w:rsidP="00EA075A">
      <w:pPr>
        <w:pStyle w:val="B5"/>
      </w:pPr>
      <w:r>
        <w:t xml:space="preserve">5&gt; if the </w:t>
      </w:r>
      <w:r>
        <w:rPr>
          <w:i/>
          <w:iCs/>
        </w:rPr>
        <w:t>reportRSRP</w:t>
      </w:r>
      <w:r>
        <w:t xml:space="preserve"> is set to </w:t>
      </w:r>
      <w:r>
        <w:rPr>
          <w:i/>
          <w:iCs/>
        </w:rPr>
        <w:t>true</w:t>
      </w:r>
      <w:r>
        <w:t>:</w:t>
      </w:r>
    </w:p>
    <w:p w14:paraId="0BE62D1C" w14:textId="77777777" w:rsidR="00EA075A" w:rsidRDefault="00EA075A" w:rsidP="00EA075A">
      <w:pPr>
        <w:pStyle w:val="B6"/>
        <w:rPr>
          <w:lang w:val="en-GB"/>
        </w:rPr>
      </w:pPr>
      <w:r>
        <w:rPr>
          <w:lang w:val="en-GB"/>
        </w:rPr>
        <w:t xml:space="preserve">6&gt; perform RSRP measurements based on SSB for the NR neighbouring cell(s) detected based on parameters in the associated </w:t>
      </w:r>
      <w:r>
        <w:rPr>
          <w:i/>
          <w:iCs/>
          <w:lang w:val="en-GB"/>
        </w:rPr>
        <w:t>measObject</w:t>
      </w:r>
      <w:r>
        <w:rPr>
          <w:lang w:val="en-GB"/>
        </w:rPr>
        <w:t>;</w:t>
      </w:r>
    </w:p>
    <w:p w14:paraId="185D5594" w14:textId="77777777" w:rsidR="00EA075A" w:rsidRDefault="00EA075A" w:rsidP="00EA075A">
      <w:pPr>
        <w:pStyle w:val="B2"/>
        <w:rPr>
          <w:lang w:val="en-GB"/>
        </w:rPr>
      </w:pPr>
      <w:r>
        <w:rPr>
          <w:lang w:val="en-GB"/>
        </w:rPr>
        <w:t xml:space="preserve">2&gt; if the </w:t>
      </w:r>
      <w:r>
        <w:rPr>
          <w:i/>
          <w:iCs/>
          <w:lang w:val="en-GB"/>
        </w:rPr>
        <w:t>reportType</w:t>
      </w:r>
      <w:r>
        <w:rPr>
          <w:lang w:val="en-GB"/>
        </w:rPr>
        <w:t xml:space="preserve"> for the associated </w:t>
      </w:r>
      <w:r>
        <w:rPr>
          <w:i/>
          <w:iCs/>
          <w:lang w:val="en-GB"/>
        </w:rPr>
        <w:t>reportConfig</w:t>
      </w:r>
      <w:r>
        <w:rPr>
          <w:lang w:val="en-GB"/>
        </w:rPr>
        <w:t xml:space="preserve"> is </w:t>
      </w:r>
      <w:r>
        <w:rPr>
          <w:i/>
          <w:iCs/>
          <w:lang w:val="en-GB"/>
        </w:rPr>
        <w:t>cli-Periodical</w:t>
      </w:r>
      <w:r>
        <w:rPr>
          <w:lang w:val="en-GB"/>
        </w:rPr>
        <w:t xml:space="preserve"> or </w:t>
      </w:r>
      <w:r>
        <w:rPr>
          <w:i/>
          <w:iCs/>
          <w:lang w:val="en-GB"/>
        </w:rPr>
        <w:t>cli-EventTriggered</w:t>
      </w:r>
      <w:r>
        <w:rPr>
          <w:lang w:val="en-GB"/>
        </w:rPr>
        <w:t>:</w:t>
      </w:r>
    </w:p>
    <w:p w14:paraId="4FA8D067" w14:textId="77777777" w:rsidR="00EA075A" w:rsidRDefault="00EA075A" w:rsidP="00EA075A">
      <w:pPr>
        <w:pStyle w:val="B3"/>
        <w:rPr>
          <w:lang w:val="en-GB"/>
        </w:rPr>
      </w:pPr>
      <w:r>
        <w:rPr>
          <w:lang w:val="en-GB"/>
        </w:rPr>
        <w:t xml:space="preserve">3&gt; perform the corresponding measurements associated to CLI measurement resources indicated in the concerned </w:t>
      </w:r>
      <w:r>
        <w:rPr>
          <w:i/>
          <w:iCs/>
          <w:lang w:val="en-GB"/>
        </w:rPr>
        <w:t>measObjectCLI</w:t>
      </w:r>
      <w:r>
        <w:rPr>
          <w:lang w:val="en-GB"/>
        </w:rPr>
        <w:t>;</w:t>
      </w:r>
    </w:p>
    <w:p w14:paraId="1A4FDDC1" w14:textId="77777777" w:rsidR="00EA075A" w:rsidRDefault="00EA075A" w:rsidP="00EA075A">
      <w:pPr>
        <w:pStyle w:val="B2"/>
        <w:rPr>
          <w:lang w:val="en-GB"/>
        </w:rPr>
      </w:pPr>
      <w:r>
        <w:rPr>
          <w:lang w:val="en-GB"/>
        </w:rPr>
        <w:t xml:space="preserve">2&gt; perform the evaluation of reporting criteria as specified in 5.5.4, except if </w:t>
      </w:r>
      <w:r>
        <w:rPr>
          <w:i/>
          <w:iCs/>
          <w:lang w:val="en-GB"/>
        </w:rPr>
        <w:t>reportConfig</w:t>
      </w:r>
      <w:r>
        <w:rPr>
          <w:lang w:val="en-GB"/>
        </w:rPr>
        <w:t xml:space="preserve"> is </w:t>
      </w:r>
      <w:r>
        <w:rPr>
          <w:i/>
          <w:iCs/>
          <w:lang w:val="en-GB"/>
        </w:rPr>
        <w:t>condTriggerConfig</w:t>
      </w:r>
      <w:r>
        <w:rPr>
          <w:lang w:val="en-GB"/>
        </w:rPr>
        <w:t>.</w:t>
      </w:r>
    </w:p>
    <w:p w14:paraId="7BCBAE06" w14:textId="77777777" w:rsidR="00EA075A" w:rsidRPr="00EA075A" w:rsidRDefault="00EA075A" w:rsidP="00EA075A">
      <w:pPr>
        <w:rPr>
          <w:lang w:val="en-US"/>
        </w:rPr>
      </w:pPr>
    </w:p>
    <w:sectPr w:rsidR="00EA075A" w:rsidRPr="00EA075A"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9DBD9" w14:textId="77777777" w:rsidR="00EF4E39" w:rsidRDefault="00EF4E39" w:rsidP="00083046">
      <w:r>
        <w:separator/>
      </w:r>
    </w:p>
  </w:endnote>
  <w:endnote w:type="continuationSeparator" w:id="0">
    <w:p w14:paraId="3E0001DC" w14:textId="77777777" w:rsidR="00EF4E39" w:rsidRDefault="00EF4E39"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FC3080" w14:textId="77777777" w:rsidR="00EF4E39" w:rsidRDefault="00EF4E39" w:rsidP="00083046">
      <w:r>
        <w:separator/>
      </w:r>
    </w:p>
  </w:footnote>
  <w:footnote w:type="continuationSeparator" w:id="0">
    <w:p w14:paraId="5084289E" w14:textId="77777777" w:rsidR="00EF4E39" w:rsidRDefault="00EF4E39"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22110C" w:rsidRDefault="0022110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1B70731"/>
    <w:multiLevelType w:val="hybridMultilevel"/>
    <w:tmpl w:val="4AA64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30996"/>
    <w:multiLevelType w:val="hybridMultilevel"/>
    <w:tmpl w:val="C54CA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7E5E6E16"/>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024F2A"/>
    <w:multiLevelType w:val="hybridMultilevel"/>
    <w:tmpl w:val="6F0824BA"/>
    <w:lvl w:ilvl="0" w:tplc="3DA44C9E">
      <w:start w:val="1"/>
      <w:numFmt w:val="bullet"/>
      <w:lvlText w:val="–"/>
      <w:lvlJc w:val="left"/>
      <w:pPr>
        <w:tabs>
          <w:tab w:val="num" w:pos="360"/>
        </w:tabs>
        <w:ind w:left="360" w:hanging="360"/>
      </w:pPr>
      <w:rPr>
        <w:rFonts w:ascii="Arial" w:hAnsi="Arial" w:hint="default"/>
      </w:rPr>
    </w:lvl>
    <w:lvl w:ilvl="1" w:tplc="BE72C78E">
      <w:start w:val="1"/>
      <w:numFmt w:val="bullet"/>
      <w:lvlText w:val="–"/>
      <w:lvlJc w:val="left"/>
      <w:pPr>
        <w:tabs>
          <w:tab w:val="num" w:pos="1080"/>
        </w:tabs>
        <w:ind w:left="1080" w:hanging="360"/>
      </w:pPr>
      <w:rPr>
        <w:rFonts w:ascii="Arial" w:hAnsi="Arial" w:hint="default"/>
      </w:rPr>
    </w:lvl>
    <w:lvl w:ilvl="2" w:tplc="27AE80CA">
      <w:start w:val="78"/>
      <w:numFmt w:val="bullet"/>
      <w:lvlText w:val="•"/>
      <w:lvlJc w:val="left"/>
      <w:pPr>
        <w:tabs>
          <w:tab w:val="num" w:pos="1800"/>
        </w:tabs>
        <w:ind w:left="1800" w:hanging="360"/>
      </w:pPr>
      <w:rPr>
        <w:rFonts w:ascii="Times New Roman" w:hAnsi="Times New Roman" w:hint="default"/>
      </w:rPr>
    </w:lvl>
    <w:lvl w:ilvl="3" w:tplc="6186A6B0" w:tentative="1">
      <w:start w:val="1"/>
      <w:numFmt w:val="bullet"/>
      <w:lvlText w:val="–"/>
      <w:lvlJc w:val="left"/>
      <w:pPr>
        <w:tabs>
          <w:tab w:val="num" w:pos="2520"/>
        </w:tabs>
        <w:ind w:left="2520" w:hanging="360"/>
      </w:pPr>
      <w:rPr>
        <w:rFonts w:ascii="Arial" w:hAnsi="Arial" w:hint="default"/>
      </w:rPr>
    </w:lvl>
    <w:lvl w:ilvl="4" w:tplc="22C65BCC" w:tentative="1">
      <w:start w:val="1"/>
      <w:numFmt w:val="bullet"/>
      <w:lvlText w:val="–"/>
      <w:lvlJc w:val="left"/>
      <w:pPr>
        <w:tabs>
          <w:tab w:val="num" w:pos="3240"/>
        </w:tabs>
        <w:ind w:left="3240" w:hanging="360"/>
      </w:pPr>
      <w:rPr>
        <w:rFonts w:ascii="Arial" w:hAnsi="Arial" w:hint="default"/>
      </w:rPr>
    </w:lvl>
    <w:lvl w:ilvl="5" w:tplc="264A62DC" w:tentative="1">
      <w:start w:val="1"/>
      <w:numFmt w:val="bullet"/>
      <w:lvlText w:val="–"/>
      <w:lvlJc w:val="left"/>
      <w:pPr>
        <w:tabs>
          <w:tab w:val="num" w:pos="3960"/>
        </w:tabs>
        <w:ind w:left="3960" w:hanging="360"/>
      </w:pPr>
      <w:rPr>
        <w:rFonts w:ascii="Arial" w:hAnsi="Arial" w:hint="default"/>
      </w:rPr>
    </w:lvl>
    <w:lvl w:ilvl="6" w:tplc="1C229286" w:tentative="1">
      <w:start w:val="1"/>
      <w:numFmt w:val="bullet"/>
      <w:lvlText w:val="–"/>
      <w:lvlJc w:val="left"/>
      <w:pPr>
        <w:tabs>
          <w:tab w:val="num" w:pos="4680"/>
        </w:tabs>
        <w:ind w:left="4680" w:hanging="360"/>
      </w:pPr>
      <w:rPr>
        <w:rFonts w:ascii="Arial" w:hAnsi="Arial" w:hint="default"/>
      </w:rPr>
    </w:lvl>
    <w:lvl w:ilvl="7" w:tplc="BEB47D7C" w:tentative="1">
      <w:start w:val="1"/>
      <w:numFmt w:val="bullet"/>
      <w:lvlText w:val="–"/>
      <w:lvlJc w:val="left"/>
      <w:pPr>
        <w:tabs>
          <w:tab w:val="num" w:pos="5400"/>
        </w:tabs>
        <w:ind w:left="5400" w:hanging="360"/>
      </w:pPr>
      <w:rPr>
        <w:rFonts w:ascii="Arial" w:hAnsi="Arial" w:hint="default"/>
      </w:rPr>
    </w:lvl>
    <w:lvl w:ilvl="8" w:tplc="868642A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D932F2D"/>
    <w:multiLevelType w:val="hybridMultilevel"/>
    <w:tmpl w:val="27C2C4B4"/>
    <w:lvl w:ilvl="0" w:tplc="CF22E78E">
      <w:start w:val="1"/>
      <w:numFmt w:val="bullet"/>
      <w:lvlText w:val="–"/>
      <w:lvlJc w:val="left"/>
      <w:pPr>
        <w:tabs>
          <w:tab w:val="num" w:pos="720"/>
        </w:tabs>
        <w:ind w:left="720" w:hanging="360"/>
      </w:pPr>
      <w:rPr>
        <w:rFonts w:ascii="Arial" w:hAnsi="Arial" w:hint="default"/>
      </w:rPr>
    </w:lvl>
    <w:lvl w:ilvl="1" w:tplc="DFC8A6D2">
      <w:start w:val="1"/>
      <w:numFmt w:val="bullet"/>
      <w:lvlText w:val="–"/>
      <w:lvlJc w:val="left"/>
      <w:pPr>
        <w:tabs>
          <w:tab w:val="num" w:pos="1440"/>
        </w:tabs>
        <w:ind w:left="1440" w:hanging="360"/>
      </w:pPr>
      <w:rPr>
        <w:rFonts w:ascii="Arial" w:hAnsi="Arial" w:hint="default"/>
      </w:rPr>
    </w:lvl>
    <w:lvl w:ilvl="2" w:tplc="2ECEEAC8">
      <w:start w:val="78"/>
      <w:numFmt w:val="bullet"/>
      <w:lvlText w:val="•"/>
      <w:lvlJc w:val="left"/>
      <w:pPr>
        <w:tabs>
          <w:tab w:val="num" w:pos="2160"/>
        </w:tabs>
        <w:ind w:left="2160" w:hanging="360"/>
      </w:pPr>
      <w:rPr>
        <w:rFonts w:ascii="Times New Roman" w:hAnsi="Times New Roman" w:hint="default"/>
      </w:rPr>
    </w:lvl>
    <w:lvl w:ilvl="3" w:tplc="BABC78E2" w:tentative="1">
      <w:start w:val="1"/>
      <w:numFmt w:val="bullet"/>
      <w:lvlText w:val="–"/>
      <w:lvlJc w:val="left"/>
      <w:pPr>
        <w:tabs>
          <w:tab w:val="num" w:pos="2880"/>
        </w:tabs>
        <w:ind w:left="2880" w:hanging="360"/>
      </w:pPr>
      <w:rPr>
        <w:rFonts w:ascii="Arial" w:hAnsi="Arial" w:hint="default"/>
      </w:rPr>
    </w:lvl>
    <w:lvl w:ilvl="4" w:tplc="12328288" w:tentative="1">
      <w:start w:val="1"/>
      <w:numFmt w:val="bullet"/>
      <w:lvlText w:val="–"/>
      <w:lvlJc w:val="left"/>
      <w:pPr>
        <w:tabs>
          <w:tab w:val="num" w:pos="3600"/>
        </w:tabs>
        <w:ind w:left="3600" w:hanging="360"/>
      </w:pPr>
      <w:rPr>
        <w:rFonts w:ascii="Arial" w:hAnsi="Arial" w:hint="default"/>
      </w:rPr>
    </w:lvl>
    <w:lvl w:ilvl="5" w:tplc="1170396A" w:tentative="1">
      <w:start w:val="1"/>
      <w:numFmt w:val="bullet"/>
      <w:lvlText w:val="–"/>
      <w:lvlJc w:val="left"/>
      <w:pPr>
        <w:tabs>
          <w:tab w:val="num" w:pos="4320"/>
        </w:tabs>
        <w:ind w:left="4320" w:hanging="360"/>
      </w:pPr>
      <w:rPr>
        <w:rFonts w:ascii="Arial" w:hAnsi="Arial" w:hint="default"/>
      </w:rPr>
    </w:lvl>
    <w:lvl w:ilvl="6" w:tplc="0FB614D0" w:tentative="1">
      <w:start w:val="1"/>
      <w:numFmt w:val="bullet"/>
      <w:lvlText w:val="–"/>
      <w:lvlJc w:val="left"/>
      <w:pPr>
        <w:tabs>
          <w:tab w:val="num" w:pos="5040"/>
        </w:tabs>
        <w:ind w:left="5040" w:hanging="360"/>
      </w:pPr>
      <w:rPr>
        <w:rFonts w:ascii="Arial" w:hAnsi="Arial" w:hint="default"/>
      </w:rPr>
    </w:lvl>
    <w:lvl w:ilvl="7" w:tplc="B8841EE0" w:tentative="1">
      <w:start w:val="1"/>
      <w:numFmt w:val="bullet"/>
      <w:lvlText w:val="–"/>
      <w:lvlJc w:val="left"/>
      <w:pPr>
        <w:tabs>
          <w:tab w:val="num" w:pos="5760"/>
        </w:tabs>
        <w:ind w:left="5760" w:hanging="360"/>
      </w:pPr>
      <w:rPr>
        <w:rFonts w:ascii="Arial" w:hAnsi="Arial" w:hint="default"/>
      </w:rPr>
    </w:lvl>
    <w:lvl w:ilvl="8" w:tplc="FBF2369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FA4D6C"/>
    <w:multiLevelType w:val="hybridMultilevel"/>
    <w:tmpl w:val="08DC4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DC6239"/>
    <w:multiLevelType w:val="hybridMultilevel"/>
    <w:tmpl w:val="C1D6E4BC"/>
    <w:lvl w:ilvl="0" w:tplc="8D9864F6">
      <w:start w:val="1"/>
      <w:numFmt w:val="bullet"/>
      <w:lvlText w:val="–"/>
      <w:lvlJc w:val="left"/>
      <w:pPr>
        <w:tabs>
          <w:tab w:val="num" w:pos="720"/>
        </w:tabs>
        <w:ind w:left="720" w:hanging="360"/>
      </w:pPr>
      <w:rPr>
        <w:rFonts w:ascii="Arial" w:hAnsi="Arial" w:hint="default"/>
      </w:rPr>
    </w:lvl>
    <w:lvl w:ilvl="1" w:tplc="A9187C46">
      <w:start w:val="1"/>
      <w:numFmt w:val="bullet"/>
      <w:lvlText w:val="–"/>
      <w:lvlJc w:val="left"/>
      <w:pPr>
        <w:tabs>
          <w:tab w:val="num" w:pos="1440"/>
        </w:tabs>
        <w:ind w:left="1440" w:hanging="360"/>
      </w:pPr>
      <w:rPr>
        <w:rFonts w:ascii="Arial" w:hAnsi="Arial" w:hint="default"/>
      </w:rPr>
    </w:lvl>
    <w:lvl w:ilvl="2" w:tplc="1F38F6BC" w:tentative="1">
      <w:start w:val="1"/>
      <w:numFmt w:val="bullet"/>
      <w:lvlText w:val="–"/>
      <w:lvlJc w:val="left"/>
      <w:pPr>
        <w:tabs>
          <w:tab w:val="num" w:pos="2160"/>
        </w:tabs>
        <w:ind w:left="2160" w:hanging="360"/>
      </w:pPr>
      <w:rPr>
        <w:rFonts w:ascii="Arial" w:hAnsi="Arial" w:hint="default"/>
      </w:rPr>
    </w:lvl>
    <w:lvl w:ilvl="3" w:tplc="2DF8E74E" w:tentative="1">
      <w:start w:val="1"/>
      <w:numFmt w:val="bullet"/>
      <w:lvlText w:val="–"/>
      <w:lvlJc w:val="left"/>
      <w:pPr>
        <w:tabs>
          <w:tab w:val="num" w:pos="2880"/>
        </w:tabs>
        <w:ind w:left="2880" w:hanging="360"/>
      </w:pPr>
      <w:rPr>
        <w:rFonts w:ascii="Arial" w:hAnsi="Arial" w:hint="default"/>
      </w:rPr>
    </w:lvl>
    <w:lvl w:ilvl="4" w:tplc="4D787748" w:tentative="1">
      <w:start w:val="1"/>
      <w:numFmt w:val="bullet"/>
      <w:lvlText w:val="–"/>
      <w:lvlJc w:val="left"/>
      <w:pPr>
        <w:tabs>
          <w:tab w:val="num" w:pos="3600"/>
        </w:tabs>
        <w:ind w:left="3600" w:hanging="360"/>
      </w:pPr>
      <w:rPr>
        <w:rFonts w:ascii="Arial" w:hAnsi="Arial" w:hint="default"/>
      </w:rPr>
    </w:lvl>
    <w:lvl w:ilvl="5" w:tplc="6A5A8AD0" w:tentative="1">
      <w:start w:val="1"/>
      <w:numFmt w:val="bullet"/>
      <w:lvlText w:val="–"/>
      <w:lvlJc w:val="left"/>
      <w:pPr>
        <w:tabs>
          <w:tab w:val="num" w:pos="4320"/>
        </w:tabs>
        <w:ind w:left="4320" w:hanging="360"/>
      </w:pPr>
      <w:rPr>
        <w:rFonts w:ascii="Arial" w:hAnsi="Arial" w:hint="default"/>
      </w:rPr>
    </w:lvl>
    <w:lvl w:ilvl="6" w:tplc="F6F80F8E" w:tentative="1">
      <w:start w:val="1"/>
      <w:numFmt w:val="bullet"/>
      <w:lvlText w:val="–"/>
      <w:lvlJc w:val="left"/>
      <w:pPr>
        <w:tabs>
          <w:tab w:val="num" w:pos="5040"/>
        </w:tabs>
        <w:ind w:left="5040" w:hanging="360"/>
      </w:pPr>
      <w:rPr>
        <w:rFonts w:ascii="Arial" w:hAnsi="Arial" w:hint="default"/>
      </w:rPr>
    </w:lvl>
    <w:lvl w:ilvl="7" w:tplc="25D4B158" w:tentative="1">
      <w:start w:val="1"/>
      <w:numFmt w:val="bullet"/>
      <w:lvlText w:val="–"/>
      <w:lvlJc w:val="left"/>
      <w:pPr>
        <w:tabs>
          <w:tab w:val="num" w:pos="5760"/>
        </w:tabs>
        <w:ind w:left="5760" w:hanging="360"/>
      </w:pPr>
      <w:rPr>
        <w:rFonts w:ascii="Arial" w:hAnsi="Arial" w:hint="default"/>
      </w:rPr>
    </w:lvl>
    <w:lvl w:ilvl="8" w:tplc="198430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29475B8"/>
    <w:multiLevelType w:val="hybridMultilevel"/>
    <w:tmpl w:val="A670C26E"/>
    <w:lvl w:ilvl="0" w:tplc="A3DA8236">
      <w:start w:val="1"/>
      <w:numFmt w:val="bullet"/>
      <w:lvlText w:val="•"/>
      <w:lvlJc w:val="left"/>
      <w:pPr>
        <w:tabs>
          <w:tab w:val="num" w:pos="720"/>
        </w:tabs>
        <w:ind w:left="720" w:hanging="360"/>
      </w:pPr>
      <w:rPr>
        <w:rFonts w:ascii="Arial" w:hAnsi="Arial" w:hint="default"/>
      </w:rPr>
    </w:lvl>
    <w:lvl w:ilvl="1" w:tplc="BB0A0F5A">
      <w:start w:val="1"/>
      <w:numFmt w:val="bullet"/>
      <w:lvlText w:val="•"/>
      <w:lvlJc w:val="left"/>
      <w:pPr>
        <w:tabs>
          <w:tab w:val="num" w:pos="1440"/>
        </w:tabs>
        <w:ind w:left="1440" w:hanging="360"/>
      </w:pPr>
      <w:rPr>
        <w:rFonts w:ascii="Arial" w:hAnsi="Arial" w:hint="default"/>
      </w:rPr>
    </w:lvl>
    <w:lvl w:ilvl="2" w:tplc="74847CE0">
      <w:start w:val="142"/>
      <w:numFmt w:val="bullet"/>
      <w:lvlText w:val="•"/>
      <w:lvlJc w:val="left"/>
      <w:pPr>
        <w:tabs>
          <w:tab w:val="num" w:pos="2160"/>
        </w:tabs>
        <w:ind w:left="2160" w:hanging="360"/>
      </w:pPr>
      <w:rPr>
        <w:rFonts w:ascii="Arial" w:hAnsi="Arial" w:hint="default"/>
      </w:rPr>
    </w:lvl>
    <w:lvl w:ilvl="3" w:tplc="25407DDA" w:tentative="1">
      <w:start w:val="1"/>
      <w:numFmt w:val="bullet"/>
      <w:lvlText w:val="•"/>
      <w:lvlJc w:val="left"/>
      <w:pPr>
        <w:tabs>
          <w:tab w:val="num" w:pos="2880"/>
        </w:tabs>
        <w:ind w:left="2880" w:hanging="360"/>
      </w:pPr>
      <w:rPr>
        <w:rFonts w:ascii="Arial" w:hAnsi="Arial" w:hint="default"/>
      </w:rPr>
    </w:lvl>
    <w:lvl w:ilvl="4" w:tplc="75BE8FAC" w:tentative="1">
      <w:start w:val="1"/>
      <w:numFmt w:val="bullet"/>
      <w:lvlText w:val="•"/>
      <w:lvlJc w:val="left"/>
      <w:pPr>
        <w:tabs>
          <w:tab w:val="num" w:pos="3600"/>
        </w:tabs>
        <w:ind w:left="3600" w:hanging="360"/>
      </w:pPr>
      <w:rPr>
        <w:rFonts w:ascii="Arial" w:hAnsi="Arial" w:hint="default"/>
      </w:rPr>
    </w:lvl>
    <w:lvl w:ilvl="5" w:tplc="55807746" w:tentative="1">
      <w:start w:val="1"/>
      <w:numFmt w:val="bullet"/>
      <w:lvlText w:val="•"/>
      <w:lvlJc w:val="left"/>
      <w:pPr>
        <w:tabs>
          <w:tab w:val="num" w:pos="4320"/>
        </w:tabs>
        <w:ind w:left="4320" w:hanging="360"/>
      </w:pPr>
      <w:rPr>
        <w:rFonts w:ascii="Arial" w:hAnsi="Arial" w:hint="default"/>
      </w:rPr>
    </w:lvl>
    <w:lvl w:ilvl="6" w:tplc="28F46EFE" w:tentative="1">
      <w:start w:val="1"/>
      <w:numFmt w:val="bullet"/>
      <w:lvlText w:val="•"/>
      <w:lvlJc w:val="left"/>
      <w:pPr>
        <w:tabs>
          <w:tab w:val="num" w:pos="5040"/>
        </w:tabs>
        <w:ind w:left="5040" w:hanging="360"/>
      </w:pPr>
      <w:rPr>
        <w:rFonts w:ascii="Arial" w:hAnsi="Arial" w:hint="default"/>
      </w:rPr>
    </w:lvl>
    <w:lvl w:ilvl="7" w:tplc="6438193E" w:tentative="1">
      <w:start w:val="1"/>
      <w:numFmt w:val="bullet"/>
      <w:lvlText w:val="•"/>
      <w:lvlJc w:val="left"/>
      <w:pPr>
        <w:tabs>
          <w:tab w:val="num" w:pos="5760"/>
        </w:tabs>
        <w:ind w:left="5760" w:hanging="360"/>
      </w:pPr>
      <w:rPr>
        <w:rFonts w:ascii="Arial" w:hAnsi="Arial" w:hint="default"/>
      </w:rPr>
    </w:lvl>
    <w:lvl w:ilvl="8" w:tplc="B810DA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5ED26D09"/>
    <w:multiLevelType w:val="hybridMultilevel"/>
    <w:tmpl w:val="A2CCF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0146DC0"/>
    <w:multiLevelType w:val="hybridMultilevel"/>
    <w:tmpl w:val="B540FDEA"/>
    <w:lvl w:ilvl="0" w:tplc="8ED85BF2">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8E92FF34"/>
    <w:lvl w:ilvl="0" w:tplc="04090001">
      <w:start w:val="1"/>
      <w:numFmt w:val="bullet"/>
      <w:lvlText w:val=""/>
      <w:lvlJc w:val="left"/>
      <w:pPr>
        <w:ind w:left="420" w:hanging="420"/>
      </w:pPr>
      <w:rPr>
        <w:rFonts w:ascii="Symbol" w:hAnsi="Symbol"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29"/>
  </w:num>
  <w:num w:numId="4">
    <w:abstractNumId w:val="36"/>
  </w:num>
  <w:num w:numId="5">
    <w:abstractNumId w:val="23"/>
  </w:num>
  <w:num w:numId="6">
    <w:abstractNumId w:val="41"/>
  </w:num>
  <w:num w:numId="7">
    <w:abstractNumId w:val="25"/>
  </w:num>
  <w:num w:numId="8">
    <w:abstractNumId w:val="24"/>
  </w:num>
  <w:num w:numId="9">
    <w:abstractNumId w:val="4"/>
  </w:num>
  <w:num w:numId="10">
    <w:abstractNumId w:val="26"/>
  </w:num>
  <w:num w:numId="11">
    <w:abstractNumId w:val="44"/>
  </w:num>
  <w:num w:numId="12">
    <w:abstractNumId w:val="43"/>
  </w:num>
  <w:num w:numId="13">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34"/>
  </w:num>
  <w:num w:numId="15">
    <w:abstractNumId w:val="8"/>
  </w:num>
  <w:num w:numId="16">
    <w:abstractNumId w:val="46"/>
  </w:num>
  <w:num w:numId="17">
    <w:abstractNumId w:val="14"/>
  </w:num>
  <w:num w:numId="18">
    <w:abstractNumId w:val="35"/>
  </w:num>
  <w:num w:numId="1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37"/>
  </w:num>
  <w:num w:numId="22">
    <w:abstractNumId w:val="32"/>
  </w:num>
  <w:num w:numId="23">
    <w:abstractNumId w:val="21"/>
  </w:num>
  <w:num w:numId="24">
    <w:abstractNumId w:val="9"/>
  </w:num>
  <w:num w:numId="25">
    <w:abstractNumId w:val="45"/>
  </w:num>
  <w:num w:numId="26">
    <w:abstractNumId w:val="40"/>
  </w:num>
  <w:num w:numId="27">
    <w:abstractNumId w:val="31"/>
  </w:num>
  <w:num w:numId="28">
    <w:abstractNumId w:val="12"/>
  </w:num>
  <w:num w:numId="29">
    <w:abstractNumId w:val="3"/>
  </w:num>
  <w:num w:numId="30">
    <w:abstractNumId w:val="5"/>
  </w:num>
  <w:num w:numId="31">
    <w:abstractNumId w:val="38"/>
  </w:num>
  <w:num w:numId="32">
    <w:abstractNumId w:val="0"/>
  </w:num>
  <w:num w:numId="33">
    <w:abstractNumId w:val="28"/>
  </w:num>
  <w:num w:numId="34">
    <w:abstractNumId w:val="42"/>
  </w:num>
  <w:num w:numId="35">
    <w:abstractNumId w:val="15"/>
  </w:num>
  <w:num w:numId="36">
    <w:abstractNumId w:val="22"/>
  </w:num>
  <w:num w:numId="37">
    <w:abstractNumId w:val="18"/>
  </w:num>
  <w:num w:numId="38">
    <w:abstractNumId w:val="17"/>
  </w:num>
  <w:num w:numId="39">
    <w:abstractNumId w:val="39"/>
  </w:num>
  <w:num w:numId="40">
    <w:abstractNumId w:val="10"/>
  </w:num>
  <w:num w:numId="41">
    <w:abstractNumId w:val="11"/>
  </w:num>
  <w:num w:numId="42">
    <w:abstractNumId w:val="19"/>
  </w:num>
  <w:num w:numId="43">
    <w:abstractNumId w:val="33"/>
  </w:num>
  <w:num w:numId="44">
    <w:abstractNumId w:val="20"/>
  </w:num>
  <w:num w:numId="45">
    <w:abstractNumId w:val="30"/>
  </w:num>
  <w:num w:numId="46">
    <w:abstractNumId w:val="16"/>
  </w:num>
  <w:num w:numId="47">
    <w:abstractNumId w:val="2"/>
  </w:num>
  <w:num w:numId="48">
    <w:abstractNumId w:val="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4076"/>
    <w:rsid w:val="00005509"/>
    <w:rsid w:val="00005774"/>
    <w:rsid w:val="00005951"/>
    <w:rsid w:val="00005F99"/>
    <w:rsid w:val="0000632C"/>
    <w:rsid w:val="00007182"/>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38C"/>
    <w:rsid w:val="0001676E"/>
    <w:rsid w:val="000167DF"/>
    <w:rsid w:val="0001695D"/>
    <w:rsid w:val="000172F4"/>
    <w:rsid w:val="000205AD"/>
    <w:rsid w:val="000210FF"/>
    <w:rsid w:val="000214D8"/>
    <w:rsid w:val="00021A93"/>
    <w:rsid w:val="00021CA4"/>
    <w:rsid w:val="000220D1"/>
    <w:rsid w:val="00022194"/>
    <w:rsid w:val="0002226C"/>
    <w:rsid w:val="00022677"/>
    <w:rsid w:val="000228DC"/>
    <w:rsid w:val="00022C4C"/>
    <w:rsid w:val="00022E33"/>
    <w:rsid w:val="0002332A"/>
    <w:rsid w:val="000237C3"/>
    <w:rsid w:val="0002404B"/>
    <w:rsid w:val="00024227"/>
    <w:rsid w:val="00025609"/>
    <w:rsid w:val="00025DDA"/>
    <w:rsid w:val="00026508"/>
    <w:rsid w:val="000273A3"/>
    <w:rsid w:val="00027A22"/>
    <w:rsid w:val="000300B4"/>
    <w:rsid w:val="00030341"/>
    <w:rsid w:val="00030B6F"/>
    <w:rsid w:val="00030D42"/>
    <w:rsid w:val="00030EA8"/>
    <w:rsid w:val="00031BA0"/>
    <w:rsid w:val="00031EF0"/>
    <w:rsid w:val="000321A8"/>
    <w:rsid w:val="000322A1"/>
    <w:rsid w:val="0003271D"/>
    <w:rsid w:val="00032854"/>
    <w:rsid w:val="000337AE"/>
    <w:rsid w:val="0003556C"/>
    <w:rsid w:val="0003557D"/>
    <w:rsid w:val="000359C4"/>
    <w:rsid w:val="00035BA7"/>
    <w:rsid w:val="00036428"/>
    <w:rsid w:val="00036C94"/>
    <w:rsid w:val="000375ED"/>
    <w:rsid w:val="00037997"/>
    <w:rsid w:val="0004059D"/>
    <w:rsid w:val="00040D18"/>
    <w:rsid w:val="00041416"/>
    <w:rsid w:val="0004152C"/>
    <w:rsid w:val="000422FF"/>
    <w:rsid w:val="00042E9E"/>
    <w:rsid w:val="00043878"/>
    <w:rsid w:val="00043BC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26F"/>
    <w:rsid w:val="0006267E"/>
    <w:rsid w:val="00062716"/>
    <w:rsid w:val="000627C6"/>
    <w:rsid w:val="00062907"/>
    <w:rsid w:val="000629B1"/>
    <w:rsid w:val="00063AB0"/>
    <w:rsid w:val="00063AC6"/>
    <w:rsid w:val="00063DBB"/>
    <w:rsid w:val="00063F1D"/>
    <w:rsid w:val="00065630"/>
    <w:rsid w:val="00065C00"/>
    <w:rsid w:val="000664E0"/>
    <w:rsid w:val="0006699D"/>
    <w:rsid w:val="000673BF"/>
    <w:rsid w:val="00070161"/>
    <w:rsid w:val="00070B29"/>
    <w:rsid w:val="00070DBE"/>
    <w:rsid w:val="0007119C"/>
    <w:rsid w:val="00071F1E"/>
    <w:rsid w:val="00072086"/>
    <w:rsid w:val="000720DC"/>
    <w:rsid w:val="00072453"/>
    <w:rsid w:val="00072C1F"/>
    <w:rsid w:val="00073C42"/>
    <w:rsid w:val="00073E25"/>
    <w:rsid w:val="00073EA3"/>
    <w:rsid w:val="000755B5"/>
    <w:rsid w:val="0007650C"/>
    <w:rsid w:val="00076C44"/>
    <w:rsid w:val="00076FF5"/>
    <w:rsid w:val="000772F7"/>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EB6"/>
    <w:rsid w:val="000934B6"/>
    <w:rsid w:val="00093A63"/>
    <w:rsid w:val="00093E45"/>
    <w:rsid w:val="00094750"/>
    <w:rsid w:val="000948FB"/>
    <w:rsid w:val="00094B22"/>
    <w:rsid w:val="00095991"/>
    <w:rsid w:val="00095C4D"/>
    <w:rsid w:val="00095DA3"/>
    <w:rsid w:val="00096163"/>
    <w:rsid w:val="00096216"/>
    <w:rsid w:val="0009621A"/>
    <w:rsid w:val="0009739B"/>
    <w:rsid w:val="000975D5"/>
    <w:rsid w:val="0009779A"/>
    <w:rsid w:val="000979D7"/>
    <w:rsid w:val="00097AF5"/>
    <w:rsid w:val="00097B99"/>
    <w:rsid w:val="000A0FAC"/>
    <w:rsid w:val="000A1AEF"/>
    <w:rsid w:val="000A1C12"/>
    <w:rsid w:val="000A1CB8"/>
    <w:rsid w:val="000A1D31"/>
    <w:rsid w:val="000A26F4"/>
    <w:rsid w:val="000A2D74"/>
    <w:rsid w:val="000A3940"/>
    <w:rsid w:val="000A4326"/>
    <w:rsid w:val="000A4683"/>
    <w:rsid w:val="000A4785"/>
    <w:rsid w:val="000A4899"/>
    <w:rsid w:val="000A5315"/>
    <w:rsid w:val="000A57A8"/>
    <w:rsid w:val="000A584D"/>
    <w:rsid w:val="000A591F"/>
    <w:rsid w:val="000A59AD"/>
    <w:rsid w:val="000A6336"/>
    <w:rsid w:val="000A6C4B"/>
    <w:rsid w:val="000A6E49"/>
    <w:rsid w:val="000A77A6"/>
    <w:rsid w:val="000A7D71"/>
    <w:rsid w:val="000B0B99"/>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6DE"/>
    <w:rsid w:val="000B5E1A"/>
    <w:rsid w:val="000B748B"/>
    <w:rsid w:val="000B7DDC"/>
    <w:rsid w:val="000C06FF"/>
    <w:rsid w:val="000C074E"/>
    <w:rsid w:val="000C07C0"/>
    <w:rsid w:val="000C0B9D"/>
    <w:rsid w:val="000C0F99"/>
    <w:rsid w:val="000C14C1"/>
    <w:rsid w:val="000C25CA"/>
    <w:rsid w:val="000C2DAC"/>
    <w:rsid w:val="000C3A4B"/>
    <w:rsid w:val="000C3BE1"/>
    <w:rsid w:val="000C521E"/>
    <w:rsid w:val="000C56CE"/>
    <w:rsid w:val="000C6075"/>
    <w:rsid w:val="000C650F"/>
    <w:rsid w:val="000C6B7A"/>
    <w:rsid w:val="000C78CC"/>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E06"/>
    <w:rsid w:val="000E7E9E"/>
    <w:rsid w:val="000F021D"/>
    <w:rsid w:val="000F0269"/>
    <w:rsid w:val="000F054D"/>
    <w:rsid w:val="000F0774"/>
    <w:rsid w:val="000F07D8"/>
    <w:rsid w:val="000F0D83"/>
    <w:rsid w:val="000F1EF6"/>
    <w:rsid w:val="000F1F49"/>
    <w:rsid w:val="000F28A5"/>
    <w:rsid w:val="000F2916"/>
    <w:rsid w:val="000F3287"/>
    <w:rsid w:val="000F3359"/>
    <w:rsid w:val="000F34A2"/>
    <w:rsid w:val="000F3AB3"/>
    <w:rsid w:val="000F41DF"/>
    <w:rsid w:val="000F433B"/>
    <w:rsid w:val="000F4F35"/>
    <w:rsid w:val="000F5D7C"/>
    <w:rsid w:val="000F60C9"/>
    <w:rsid w:val="000F7193"/>
    <w:rsid w:val="000F729B"/>
    <w:rsid w:val="000F762B"/>
    <w:rsid w:val="000F7A66"/>
    <w:rsid w:val="00100446"/>
    <w:rsid w:val="00100CCE"/>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F44"/>
    <w:rsid w:val="00106008"/>
    <w:rsid w:val="00106085"/>
    <w:rsid w:val="001067FF"/>
    <w:rsid w:val="00106E00"/>
    <w:rsid w:val="00106F9A"/>
    <w:rsid w:val="00107218"/>
    <w:rsid w:val="00107C3A"/>
    <w:rsid w:val="00111076"/>
    <w:rsid w:val="001111C4"/>
    <w:rsid w:val="00111454"/>
    <w:rsid w:val="00111AD3"/>
    <w:rsid w:val="00112345"/>
    <w:rsid w:val="00112A63"/>
    <w:rsid w:val="00112A78"/>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E8E"/>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404"/>
    <w:rsid w:val="001245BA"/>
    <w:rsid w:val="00125748"/>
    <w:rsid w:val="00125A9A"/>
    <w:rsid w:val="00125F0F"/>
    <w:rsid w:val="00125F6E"/>
    <w:rsid w:val="00126C09"/>
    <w:rsid w:val="00127959"/>
    <w:rsid w:val="001279C4"/>
    <w:rsid w:val="00127AD3"/>
    <w:rsid w:val="0013023F"/>
    <w:rsid w:val="00130413"/>
    <w:rsid w:val="0013041F"/>
    <w:rsid w:val="00130A5C"/>
    <w:rsid w:val="00131682"/>
    <w:rsid w:val="00131748"/>
    <w:rsid w:val="00131B0C"/>
    <w:rsid w:val="00131FC9"/>
    <w:rsid w:val="00132B58"/>
    <w:rsid w:val="00132CCB"/>
    <w:rsid w:val="00133026"/>
    <w:rsid w:val="00133527"/>
    <w:rsid w:val="00133ADD"/>
    <w:rsid w:val="00133D37"/>
    <w:rsid w:val="001342D2"/>
    <w:rsid w:val="00134DB9"/>
    <w:rsid w:val="00135071"/>
    <w:rsid w:val="0013516A"/>
    <w:rsid w:val="00135364"/>
    <w:rsid w:val="001356F2"/>
    <w:rsid w:val="001358FE"/>
    <w:rsid w:val="00135EB0"/>
    <w:rsid w:val="0013697A"/>
    <w:rsid w:val="00136E4B"/>
    <w:rsid w:val="00137022"/>
    <w:rsid w:val="00137044"/>
    <w:rsid w:val="00137048"/>
    <w:rsid w:val="00137383"/>
    <w:rsid w:val="001379DE"/>
    <w:rsid w:val="00137C96"/>
    <w:rsid w:val="00137DF2"/>
    <w:rsid w:val="00137F82"/>
    <w:rsid w:val="0014063F"/>
    <w:rsid w:val="001408CD"/>
    <w:rsid w:val="00140E28"/>
    <w:rsid w:val="00141472"/>
    <w:rsid w:val="001415CF"/>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4F"/>
    <w:rsid w:val="001618A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33E"/>
    <w:rsid w:val="00170CD5"/>
    <w:rsid w:val="001715CA"/>
    <w:rsid w:val="00171C5B"/>
    <w:rsid w:val="00171C86"/>
    <w:rsid w:val="00171E74"/>
    <w:rsid w:val="0017238A"/>
    <w:rsid w:val="00172485"/>
    <w:rsid w:val="00172663"/>
    <w:rsid w:val="0017281E"/>
    <w:rsid w:val="00172EAE"/>
    <w:rsid w:val="001732D3"/>
    <w:rsid w:val="00173F11"/>
    <w:rsid w:val="001747BB"/>
    <w:rsid w:val="0017487C"/>
    <w:rsid w:val="00174C2B"/>
    <w:rsid w:val="00174F5D"/>
    <w:rsid w:val="001756F1"/>
    <w:rsid w:val="00175B19"/>
    <w:rsid w:val="00176772"/>
    <w:rsid w:val="00176B67"/>
    <w:rsid w:val="00176C5D"/>
    <w:rsid w:val="00177303"/>
    <w:rsid w:val="00177925"/>
    <w:rsid w:val="0017793B"/>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AB8"/>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C2D"/>
    <w:rsid w:val="00196D16"/>
    <w:rsid w:val="00197029"/>
    <w:rsid w:val="00197345"/>
    <w:rsid w:val="0019735B"/>
    <w:rsid w:val="00197743"/>
    <w:rsid w:val="00197BA4"/>
    <w:rsid w:val="00197DD4"/>
    <w:rsid w:val="001A00D9"/>
    <w:rsid w:val="001A051E"/>
    <w:rsid w:val="001A0E24"/>
    <w:rsid w:val="001A0E2B"/>
    <w:rsid w:val="001A1955"/>
    <w:rsid w:val="001A1CA5"/>
    <w:rsid w:val="001A2884"/>
    <w:rsid w:val="001A3681"/>
    <w:rsid w:val="001A3AFD"/>
    <w:rsid w:val="001A3EC6"/>
    <w:rsid w:val="001A512E"/>
    <w:rsid w:val="001A53DF"/>
    <w:rsid w:val="001A56C7"/>
    <w:rsid w:val="001A5E5E"/>
    <w:rsid w:val="001A624C"/>
    <w:rsid w:val="001A62D1"/>
    <w:rsid w:val="001A69F4"/>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66C8"/>
    <w:rsid w:val="001B73F7"/>
    <w:rsid w:val="001B7B32"/>
    <w:rsid w:val="001B7B86"/>
    <w:rsid w:val="001C011D"/>
    <w:rsid w:val="001C0292"/>
    <w:rsid w:val="001C0606"/>
    <w:rsid w:val="001C06AA"/>
    <w:rsid w:val="001C0939"/>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00A"/>
    <w:rsid w:val="001D24C3"/>
    <w:rsid w:val="001D2861"/>
    <w:rsid w:val="001D2F76"/>
    <w:rsid w:val="001D4091"/>
    <w:rsid w:val="001D4857"/>
    <w:rsid w:val="001D50E1"/>
    <w:rsid w:val="001D518C"/>
    <w:rsid w:val="001D524E"/>
    <w:rsid w:val="001D52DF"/>
    <w:rsid w:val="001D54D5"/>
    <w:rsid w:val="001D5881"/>
    <w:rsid w:val="001D5F81"/>
    <w:rsid w:val="001D61B8"/>
    <w:rsid w:val="001D61F2"/>
    <w:rsid w:val="001D6D1C"/>
    <w:rsid w:val="001D6E28"/>
    <w:rsid w:val="001D73B3"/>
    <w:rsid w:val="001D7C1E"/>
    <w:rsid w:val="001D7EC2"/>
    <w:rsid w:val="001E01A3"/>
    <w:rsid w:val="001E0686"/>
    <w:rsid w:val="001E083E"/>
    <w:rsid w:val="001E0954"/>
    <w:rsid w:val="001E0CAB"/>
    <w:rsid w:val="001E0E88"/>
    <w:rsid w:val="001E134B"/>
    <w:rsid w:val="001E1F0A"/>
    <w:rsid w:val="001E2274"/>
    <w:rsid w:val="001E2551"/>
    <w:rsid w:val="001E3205"/>
    <w:rsid w:val="001E352E"/>
    <w:rsid w:val="001E3BB0"/>
    <w:rsid w:val="001E3EB9"/>
    <w:rsid w:val="001E4A50"/>
    <w:rsid w:val="001E5210"/>
    <w:rsid w:val="001E53D6"/>
    <w:rsid w:val="001E5FC9"/>
    <w:rsid w:val="001E624D"/>
    <w:rsid w:val="001E62F2"/>
    <w:rsid w:val="001E6796"/>
    <w:rsid w:val="001E6E98"/>
    <w:rsid w:val="001E730B"/>
    <w:rsid w:val="001E7B19"/>
    <w:rsid w:val="001E7F1E"/>
    <w:rsid w:val="001F1669"/>
    <w:rsid w:val="001F1EF9"/>
    <w:rsid w:val="001F2177"/>
    <w:rsid w:val="001F2638"/>
    <w:rsid w:val="001F28FD"/>
    <w:rsid w:val="001F29DA"/>
    <w:rsid w:val="001F2A9E"/>
    <w:rsid w:val="001F2D76"/>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C56"/>
    <w:rsid w:val="00211EAD"/>
    <w:rsid w:val="0021354A"/>
    <w:rsid w:val="002137BF"/>
    <w:rsid w:val="00214221"/>
    <w:rsid w:val="0021488F"/>
    <w:rsid w:val="002149B3"/>
    <w:rsid w:val="00214AD7"/>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4ED"/>
    <w:rsid w:val="00223BC8"/>
    <w:rsid w:val="00224CFF"/>
    <w:rsid w:val="00225263"/>
    <w:rsid w:val="002257E0"/>
    <w:rsid w:val="0022585D"/>
    <w:rsid w:val="00225F6B"/>
    <w:rsid w:val="002260CE"/>
    <w:rsid w:val="0022699F"/>
    <w:rsid w:val="002277A7"/>
    <w:rsid w:val="00227DFA"/>
    <w:rsid w:val="00227E4F"/>
    <w:rsid w:val="00227E85"/>
    <w:rsid w:val="002302CD"/>
    <w:rsid w:val="00230369"/>
    <w:rsid w:val="00230395"/>
    <w:rsid w:val="00230F0B"/>
    <w:rsid w:val="00230F37"/>
    <w:rsid w:val="00232052"/>
    <w:rsid w:val="00232925"/>
    <w:rsid w:val="00232C3F"/>
    <w:rsid w:val="00232E0C"/>
    <w:rsid w:val="00233868"/>
    <w:rsid w:val="00233D95"/>
    <w:rsid w:val="00234A54"/>
    <w:rsid w:val="00234C6B"/>
    <w:rsid w:val="002354CF"/>
    <w:rsid w:val="00235759"/>
    <w:rsid w:val="002357CD"/>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58B"/>
    <w:rsid w:val="00261808"/>
    <w:rsid w:val="00261832"/>
    <w:rsid w:val="002619E3"/>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0D7A"/>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52BE"/>
    <w:rsid w:val="00286476"/>
    <w:rsid w:val="00286520"/>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256B"/>
    <w:rsid w:val="002A2C0D"/>
    <w:rsid w:val="002A3A3D"/>
    <w:rsid w:val="002A3CB8"/>
    <w:rsid w:val="002A41D2"/>
    <w:rsid w:val="002A4260"/>
    <w:rsid w:val="002A463C"/>
    <w:rsid w:val="002A4FE2"/>
    <w:rsid w:val="002A56EA"/>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64F5"/>
    <w:rsid w:val="002B6A59"/>
    <w:rsid w:val="002B6BDA"/>
    <w:rsid w:val="002B71B0"/>
    <w:rsid w:val="002C0453"/>
    <w:rsid w:val="002C0A10"/>
    <w:rsid w:val="002C0D05"/>
    <w:rsid w:val="002C0D28"/>
    <w:rsid w:val="002C1230"/>
    <w:rsid w:val="002C1A02"/>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463"/>
    <w:rsid w:val="002D4572"/>
    <w:rsid w:val="002D46B4"/>
    <w:rsid w:val="002D488B"/>
    <w:rsid w:val="002D4A8A"/>
    <w:rsid w:val="002D50E6"/>
    <w:rsid w:val="002D53AF"/>
    <w:rsid w:val="002D5B2B"/>
    <w:rsid w:val="002D6D95"/>
    <w:rsid w:val="002D6FEE"/>
    <w:rsid w:val="002D6FF2"/>
    <w:rsid w:val="002E02E4"/>
    <w:rsid w:val="002E11B9"/>
    <w:rsid w:val="002E12E2"/>
    <w:rsid w:val="002E16C5"/>
    <w:rsid w:val="002E1950"/>
    <w:rsid w:val="002E2AAB"/>
    <w:rsid w:val="002E2C90"/>
    <w:rsid w:val="002E2CB4"/>
    <w:rsid w:val="002E315D"/>
    <w:rsid w:val="002E333E"/>
    <w:rsid w:val="002E3495"/>
    <w:rsid w:val="002E3CBC"/>
    <w:rsid w:val="002E3EA2"/>
    <w:rsid w:val="002E528E"/>
    <w:rsid w:val="002E5C14"/>
    <w:rsid w:val="002E5EC2"/>
    <w:rsid w:val="002E60AB"/>
    <w:rsid w:val="002E623A"/>
    <w:rsid w:val="002F00C5"/>
    <w:rsid w:val="002F1C3B"/>
    <w:rsid w:val="002F2451"/>
    <w:rsid w:val="002F28D8"/>
    <w:rsid w:val="002F2E0E"/>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280"/>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27E"/>
    <w:rsid w:val="0031339A"/>
    <w:rsid w:val="00313945"/>
    <w:rsid w:val="00313ACF"/>
    <w:rsid w:val="00313DC6"/>
    <w:rsid w:val="00313E28"/>
    <w:rsid w:val="00314260"/>
    <w:rsid w:val="0031493F"/>
    <w:rsid w:val="00314E63"/>
    <w:rsid w:val="003155DC"/>
    <w:rsid w:val="00315A08"/>
    <w:rsid w:val="00315EF0"/>
    <w:rsid w:val="003164CC"/>
    <w:rsid w:val="00316644"/>
    <w:rsid w:val="00316AD7"/>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3F02"/>
    <w:rsid w:val="00334440"/>
    <w:rsid w:val="003351B5"/>
    <w:rsid w:val="0033525C"/>
    <w:rsid w:val="003352FD"/>
    <w:rsid w:val="0033544D"/>
    <w:rsid w:val="00335D33"/>
    <w:rsid w:val="00336575"/>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261F"/>
    <w:rsid w:val="00352D83"/>
    <w:rsid w:val="0035341A"/>
    <w:rsid w:val="00353783"/>
    <w:rsid w:val="00353BE8"/>
    <w:rsid w:val="0035439D"/>
    <w:rsid w:val="00354667"/>
    <w:rsid w:val="00354C75"/>
    <w:rsid w:val="00354C84"/>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AB"/>
    <w:rsid w:val="003651D5"/>
    <w:rsid w:val="00365A40"/>
    <w:rsid w:val="00365BF7"/>
    <w:rsid w:val="00366695"/>
    <w:rsid w:val="00366E16"/>
    <w:rsid w:val="00367444"/>
    <w:rsid w:val="00367459"/>
    <w:rsid w:val="0036771C"/>
    <w:rsid w:val="00367C76"/>
    <w:rsid w:val="00367F5B"/>
    <w:rsid w:val="003701FC"/>
    <w:rsid w:val="00370845"/>
    <w:rsid w:val="0037136E"/>
    <w:rsid w:val="0037239C"/>
    <w:rsid w:val="003725FE"/>
    <w:rsid w:val="003729CE"/>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D5D"/>
    <w:rsid w:val="00380384"/>
    <w:rsid w:val="0038169D"/>
    <w:rsid w:val="00381784"/>
    <w:rsid w:val="003817B7"/>
    <w:rsid w:val="003818F6"/>
    <w:rsid w:val="00381A90"/>
    <w:rsid w:val="00381CB6"/>
    <w:rsid w:val="00382687"/>
    <w:rsid w:val="00382B37"/>
    <w:rsid w:val="0038352B"/>
    <w:rsid w:val="0038418D"/>
    <w:rsid w:val="00384422"/>
    <w:rsid w:val="00384DF5"/>
    <w:rsid w:val="00384E54"/>
    <w:rsid w:val="0038584A"/>
    <w:rsid w:val="00385C58"/>
    <w:rsid w:val="003872BB"/>
    <w:rsid w:val="003877AE"/>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7DA"/>
    <w:rsid w:val="003969FF"/>
    <w:rsid w:val="003975AC"/>
    <w:rsid w:val="00397FC6"/>
    <w:rsid w:val="003A087F"/>
    <w:rsid w:val="003A0A80"/>
    <w:rsid w:val="003A1310"/>
    <w:rsid w:val="003A17EF"/>
    <w:rsid w:val="003A267A"/>
    <w:rsid w:val="003A2745"/>
    <w:rsid w:val="003A3343"/>
    <w:rsid w:val="003A40A5"/>
    <w:rsid w:val="003A42AA"/>
    <w:rsid w:val="003A4806"/>
    <w:rsid w:val="003A4DD5"/>
    <w:rsid w:val="003A517A"/>
    <w:rsid w:val="003A5945"/>
    <w:rsid w:val="003A5BA7"/>
    <w:rsid w:val="003A68D3"/>
    <w:rsid w:val="003A71C1"/>
    <w:rsid w:val="003A730C"/>
    <w:rsid w:val="003A7E26"/>
    <w:rsid w:val="003B0031"/>
    <w:rsid w:val="003B007A"/>
    <w:rsid w:val="003B0AC6"/>
    <w:rsid w:val="003B0FD5"/>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9DD"/>
    <w:rsid w:val="003C2C5D"/>
    <w:rsid w:val="003C32F0"/>
    <w:rsid w:val="003C343D"/>
    <w:rsid w:val="003C3B35"/>
    <w:rsid w:val="003C3D90"/>
    <w:rsid w:val="003C4CDF"/>
    <w:rsid w:val="003C513B"/>
    <w:rsid w:val="003C53D6"/>
    <w:rsid w:val="003C5503"/>
    <w:rsid w:val="003C5624"/>
    <w:rsid w:val="003C5A7F"/>
    <w:rsid w:val="003C5BAF"/>
    <w:rsid w:val="003C5ED0"/>
    <w:rsid w:val="003C6364"/>
    <w:rsid w:val="003C6D30"/>
    <w:rsid w:val="003C6D97"/>
    <w:rsid w:val="003C73BB"/>
    <w:rsid w:val="003C748B"/>
    <w:rsid w:val="003D02B2"/>
    <w:rsid w:val="003D0749"/>
    <w:rsid w:val="003D0BF0"/>
    <w:rsid w:val="003D1649"/>
    <w:rsid w:val="003D2845"/>
    <w:rsid w:val="003D2E90"/>
    <w:rsid w:val="003D31A1"/>
    <w:rsid w:val="003D3265"/>
    <w:rsid w:val="003D3BBB"/>
    <w:rsid w:val="003D3E2E"/>
    <w:rsid w:val="003D3F21"/>
    <w:rsid w:val="003D44EF"/>
    <w:rsid w:val="003D471F"/>
    <w:rsid w:val="003D4E78"/>
    <w:rsid w:val="003D562F"/>
    <w:rsid w:val="003D577E"/>
    <w:rsid w:val="003D5A3D"/>
    <w:rsid w:val="003D7388"/>
    <w:rsid w:val="003D79A3"/>
    <w:rsid w:val="003D79CD"/>
    <w:rsid w:val="003D7BB1"/>
    <w:rsid w:val="003D7D34"/>
    <w:rsid w:val="003D7E5D"/>
    <w:rsid w:val="003E06F9"/>
    <w:rsid w:val="003E079D"/>
    <w:rsid w:val="003E0A3B"/>
    <w:rsid w:val="003E0A84"/>
    <w:rsid w:val="003E0FEE"/>
    <w:rsid w:val="003E1282"/>
    <w:rsid w:val="003E1380"/>
    <w:rsid w:val="003E1687"/>
    <w:rsid w:val="003E1753"/>
    <w:rsid w:val="003E19F8"/>
    <w:rsid w:val="003E2779"/>
    <w:rsid w:val="003E2BC0"/>
    <w:rsid w:val="003E2E40"/>
    <w:rsid w:val="003E32C4"/>
    <w:rsid w:val="003E4033"/>
    <w:rsid w:val="003E58D1"/>
    <w:rsid w:val="003E5B6C"/>
    <w:rsid w:val="003E5EE6"/>
    <w:rsid w:val="003E625E"/>
    <w:rsid w:val="003E633B"/>
    <w:rsid w:val="003E65A0"/>
    <w:rsid w:val="003E6A7B"/>
    <w:rsid w:val="003E7808"/>
    <w:rsid w:val="003E792E"/>
    <w:rsid w:val="003E7F81"/>
    <w:rsid w:val="003F0727"/>
    <w:rsid w:val="003F0876"/>
    <w:rsid w:val="003F092A"/>
    <w:rsid w:val="003F0A78"/>
    <w:rsid w:val="003F0B76"/>
    <w:rsid w:val="003F0CD1"/>
    <w:rsid w:val="003F1546"/>
    <w:rsid w:val="003F1A3F"/>
    <w:rsid w:val="003F2002"/>
    <w:rsid w:val="003F23E1"/>
    <w:rsid w:val="003F259A"/>
    <w:rsid w:val="003F2CD6"/>
    <w:rsid w:val="003F3257"/>
    <w:rsid w:val="003F3471"/>
    <w:rsid w:val="003F36FD"/>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27791"/>
    <w:rsid w:val="004300DC"/>
    <w:rsid w:val="00430367"/>
    <w:rsid w:val="00430452"/>
    <w:rsid w:val="00430C46"/>
    <w:rsid w:val="00431A7B"/>
    <w:rsid w:val="00431DF0"/>
    <w:rsid w:val="004322FF"/>
    <w:rsid w:val="00432D00"/>
    <w:rsid w:val="00433006"/>
    <w:rsid w:val="00433306"/>
    <w:rsid w:val="00433489"/>
    <w:rsid w:val="00433D03"/>
    <w:rsid w:val="004345BA"/>
    <w:rsid w:val="00434A6D"/>
    <w:rsid w:val="00435029"/>
    <w:rsid w:val="00435084"/>
    <w:rsid w:val="0043518E"/>
    <w:rsid w:val="004351C1"/>
    <w:rsid w:val="00435554"/>
    <w:rsid w:val="00435EE6"/>
    <w:rsid w:val="004360F6"/>
    <w:rsid w:val="0043644B"/>
    <w:rsid w:val="00436AEE"/>
    <w:rsid w:val="00436D77"/>
    <w:rsid w:val="00436E61"/>
    <w:rsid w:val="00437195"/>
    <w:rsid w:val="004372F6"/>
    <w:rsid w:val="00437386"/>
    <w:rsid w:val="00437D47"/>
    <w:rsid w:val="004402FD"/>
    <w:rsid w:val="00440A74"/>
    <w:rsid w:val="00440AC6"/>
    <w:rsid w:val="00440B24"/>
    <w:rsid w:val="00440D1D"/>
    <w:rsid w:val="00440E60"/>
    <w:rsid w:val="00441A56"/>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3DE"/>
    <w:rsid w:val="00456447"/>
    <w:rsid w:val="004567CE"/>
    <w:rsid w:val="004569D8"/>
    <w:rsid w:val="00456E98"/>
    <w:rsid w:val="00457A9A"/>
    <w:rsid w:val="004608CC"/>
    <w:rsid w:val="0046093C"/>
    <w:rsid w:val="00461C28"/>
    <w:rsid w:val="00461E53"/>
    <w:rsid w:val="00461F2D"/>
    <w:rsid w:val="0046231E"/>
    <w:rsid w:val="004624A3"/>
    <w:rsid w:val="004637E0"/>
    <w:rsid w:val="00465874"/>
    <w:rsid w:val="00465880"/>
    <w:rsid w:val="00465AD5"/>
    <w:rsid w:val="0046626B"/>
    <w:rsid w:val="00466532"/>
    <w:rsid w:val="0046666D"/>
    <w:rsid w:val="0046687D"/>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F1D"/>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0C4"/>
    <w:rsid w:val="0048015F"/>
    <w:rsid w:val="004804F5"/>
    <w:rsid w:val="0048076B"/>
    <w:rsid w:val="00481074"/>
    <w:rsid w:val="004810CE"/>
    <w:rsid w:val="004818C4"/>
    <w:rsid w:val="00481D44"/>
    <w:rsid w:val="00481F84"/>
    <w:rsid w:val="00481FAD"/>
    <w:rsid w:val="00483310"/>
    <w:rsid w:val="004836BF"/>
    <w:rsid w:val="00483D20"/>
    <w:rsid w:val="00484397"/>
    <w:rsid w:val="004847AB"/>
    <w:rsid w:val="00484813"/>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5E59"/>
    <w:rsid w:val="00496784"/>
    <w:rsid w:val="00497D37"/>
    <w:rsid w:val="004A0A28"/>
    <w:rsid w:val="004A0BCA"/>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79"/>
    <w:rsid w:val="004A4F89"/>
    <w:rsid w:val="004A50EA"/>
    <w:rsid w:val="004A5267"/>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FD1"/>
    <w:rsid w:val="004B216D"/>
    <w:rsid w:val="004B2890"/>
    <w:rsid w:val="004B2A6A"/>
    <w:rsid w:val="004B37FF"/>
    <w:rsid w:val="004B38E1"/>
    <w:rsid w:val="004B3959"/>
    <w:rsid w:val="004B3FBF"/>
    <w:rsid w:val="004B461B"/>
    <w:rsid w:val="004B46B7"/>
    <w:rsid w:val="004B47E6"/>
    <w:rsid w:val="004B48CF"/>
    <w:rsid w:val="004B4C96"/>
    <w:rsid w:val="004B5221"/>
    <w:rsid w:val="004B53F5"/>
    <w:rsid w:val="004B55E3"/>
    <w:rsid w:val="004B5913"/>
    <w:rsid w:val="004B65FB"/>
    <w:rsid w:val="004B787D"/>
    <w:rsid w:val="004C0799"/>
    <w:rsid w:val="004C0F35"/>
    <w:rsid w:val="004C1AC1"/>
    <w:rsid w:val="004C2115"/>
    <w:rsid w:val="004C25AA"/>
    <w:rsid w:val="004C3070"/>
    <w:rsid w:val="004C3628"/>
    <w:rsid w:val="004C407C"/>
    <w:rsid w:val="004C4315"/>
    <w:rsid w:val="004C48A5"/>
    <w:rsid w:val="004C54CF"/>
    <w:rsid w:val="004C5A62"/>
    <w:rsid w:val="004C5B49"/>
    <w:rsid w:val="004C5D06"/>
    <w:rsid w:val="004C61B3"/>
    <w:rsid w:val="004C657C"/>
    <w:rsid w:val="004C7C7E"/>
    <w:rsid w:val="004C7D14"/>
    <w:rsid w:val="004D026D"/>
    <w:rsid w:val="004D0C38"/>
    <w:rsid w:val="004D108A"/>
    <w:rsid w:val="004D10CE"/>
    <w:rsid w:val="004D159C"/>
    <w:rsid w:val="004D1EEB"/>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1C4E"/>
    <w:rsid w:val="004E21AE"/>
    <w:rsid w:val="004E21B1"/>
    <w:rsid w:val="004E3EC0"/>
    <w:rsid w:val="004E449C"/>
    <w:rsid w:val="004E4832"/>
    <w:rsid w:val="004E4E83"/>
    <w:rsid w:val="004E5728"/>
    <w:rsid w:val="004E577A"/>
    <w:rsid w:val="004E5800"/>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2A03"/>
    <w:rsid w:val="004F3084"/>
    <w:rsid w:val="004F3DE2"/>
    <w:rsid w:val="004F4802"/>
    <w:rsid w:val="004F4B63"/>
    <w:rsid w:val="004F4BBC"/>
    <w:rsid w:val="004F4E83"/>
    <w:rsid w:val="004F5111"/>
    <w:rsid w:val="004F53C9"/>
    <w:rsid w:val="004F5AE2"/>
    <w:rsid w:val="004F6156"/>
    <w:rsid w:val="004F6AA8"/>
    <w:rsid w:val="004F6F75"/>
    <w:rsid w:val="004F7094"/>
    <w:rsid w:val="004F7C41"/>
    <w:rsid w:val="00500BD1"/>
    <w:rsid w:val="00500D4A"/>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CD1"/>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17D69"/>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35"/>
    <w:rsid w:val="005302A5"/>
    <w:rsid w:val="00530775"/>
    <w:rsid w:val="00530B03"/>
    <w:rsid w:val="00530B88"/>
    <w:rsid w:val="0053211B"/>
    <w:rsid w:val="00532F0F"/>
    <w:rsid w:val="00533028"/>
    <w:rsid w:val="00533278"/>
    <w:rsid w:val="005335B2"/>
    <w:rsid w:val="0053361F"/>
    <w:rsid w:val="00533905"/>
    <w:rsid w:val="00533A68"/>
    <w:rsid w:val="00533D37"/>
    <w:rsid w:val="00533DE6"/>
    <w:rsid w:val="00533E42"/>
    <w:rsid w:val="005344B5"/>
    <w:rsid w:val="00534DF6"/>
    <w:rsid w:val="00535E8C"/>
    <w:rsid w:val="00536106"/>
    <w:rsid w:val="005368BF"/>
    <w:rsid w:val="00536FAD"/>
    <w:rsid w:val="00537507"/>
    <w:rsid w:val="00537962"/>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24"/>
    <w:rsid w:val="005501BF"/>
    <w:rsid w:val="00550FF8"/>
    <w:rsid w:val="0055125A"/>
    <w:rsid w:val="005515A9"/>
    <w:rsid w:val="0055161E"/>
    <w:rsid w:val="0055167A"/>
    <w:rsid w:val="00551852"/>
    <w:rsid w:val="00552449"/>
    <w:rsid w:val="005525FD"/>
    <w:rsid w:val="00552E8C"/>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3C5"/>
    <w:rsid w:val="00571736"/>
    <w:rsid w:val="00571745"/>
    <w:rsid w:val="0057199A"/>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6F9C"/>
    <w:rsid w:val="00587E75"/>
    <w:rsid w:val="00590407"/>
    <w:rsid w:val="00590DDD"/>
    <w:rsid w:val="00590E08"/>
    <w:rsid w:val="0059155C"/>
    <w:rsid w:val="005916A7"/>
    <w:rsid w:val="00592741"/>
    <w:rsid w:val="00593520"/>
    <w:rsid w:val="0059368B"/>
    <w:rsid w:val="00593E2A"/>
    <w:rsid w:val="00594308"/>
    <w:rsid w:val="00594841"/>
    <w:rsid w:val="00594AAF"/>
    <w:rsid w:val="00595425"/>
    <w:rsid w:val="005956D2"/>
    <w:rsid w:val="00595A9F"/>
    <w:rsid w:val="00595B38"/>
    <w:rsid w:val="00596458"/>
    <w:rsid w:val="00597143"/>
    <w:rsid w:val="00597669"/>
    <w:rsid w:val="0059786D"/>
    <w:rsid w:val="00597A50"/>
    <w:rsid w:val="00597AB6"/>
    <w:rsid w:val="00597F38"/>
    <w:rsid w:val="005A0475"/>
    <w:rsid w:val="005A0AEA"/>
    <w:rsid w:val="005A12F3"/>
    <w:rsid w:val="005A13BD"/>
    <w:rsid w:val="005A14B4"/>
    <w:rsid w:val="005A1CF9"/>
    <w:rsid w:val="005A1D16"/>
    <w:rsid w:val="005A1F16"/>
    <w:rsid w:val="005A243A"/>
    <w:rsid w:val="005A2BF4"/>
    <w:rsid w:val="005A387D"/>
    <w:rsid w:val="005A4222"/>
    <w:rsid w:val="005A463E"/>
    <w:rsid w:val="005A490C"/>
    <w:rsid w:val="005A4C2A"/>
    <w:rsid w:val="005A4EC5"/>
    <w:rsid w:val="005A628B"/>
    <w:rsid w:val="005A6E63"/>
    <w:rsid w:val="005A71B5"/>
    <w:rsid w:val="005A73AC"/>
    <w:rsid w:val="005A7589"/>
    <w:rsid w:val="005A7F30"/>
    <w:rsid w:val="005B17D9"/>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5F9F"/>
    <w:rsid w:val="005B6441"/>
    <w:rsid w:val="005B6A9E"/>
    <w:rsid w:val="005B770A"/>
    <w:rsid w:val="005B7A2F"/>
    <w:rsid w:val="005B7B5F"/>
    <w:rsid w:val="005B7BB7"/>
    <w:rsid w:val="005C079B"/>
    <w:rsid w:val="005C105E"/>
    <w:rsid w:val="005C1174"/>
    <w:rsid w:val="005C1175"/>
    <w:rsid w:val="005C14AD"/>
    <w:rsid w:val="005C1516"/>
    <w:rsid w:val="005C1740"/>
    <w:rsid w:val="005C1871"/>
    <w:rsid w:val="005C1FE0"/>
    <w:rsid w:val="005C230A"/>
    <w:rsid w:val="005C3014"/>
    <w:rsid w:val="005C310B"/>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0FD0"/>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D7E24"/>
    <w:rsid w:val="005E0296"/>
    <w:rsid w:val="005E0848"/>
    <w:rsid w:val="005E15BC"/>
    <w:rsid w:val="005E2034"/>
    <w:rsid w:val="005E28AF"/>
    <w:rsid w:val="005E44CC"/>
    <w:rsid w:val="005E48CC"/>
    <w:rsid w:val="005E4CF4"/>
    <w:rsid w:val="005E52D7"/>
    <w:rsid w:val="005E5313"/>
    <w:rsid w:val="005E58B6"/>
    <w:rsid w:val="005E5905"/>
    <w:rsid w:val="005E5A89"/>
    <w:rsid w:val="005E5BFC"/>
    <w:rsid w:val="005E5D6F"/>
    <w:rsid w:val="005E5E3C"/>
    <w:rsid w:val="005E6207"/>
    <w:rsid w:val="005E630D"/>
    <w:rsid w:val="005E772F"/>
    <w:rsid w:val="005F0409"/>
    <w:rsid w:val="005F082D"/>
    <w:rsid w:val="005F1A7D"/>
    <w:rsid w:val="005F1FBE"/>
    <w:rsid w:val="005F2FC6"/>
    <w:rsid w:val="005F30CF"/>
    <w:rsid w:val="005F3391"/>
    <w:rsid w:val="005F3AFE"/>
    <w:rsid w:val="005F445E"/>
    <w:rsid w:val="005F466A"/>
    <w:rsid w:val="005F481B"/>
    <w:rsid w:val="005F4E6B"/>
    <w:rsid w:val="005F508E"/>
    <w:rsid w:val="005F514C"/>
    <w:rsid w:val="005F51A3"/>
    <w:rsid w:val="005F5331"/>
    <w:rsid w:val="005F5BAD"/>
    <w:rsid w:val="005F5E4C"/>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BB3"/>
    <w:rsid w:val="00604D94"/>
    <w:rsid w:val="00605580"/>
    <w:rsid w:val="00605798"/>
    <w:rsid w:val="00605C0D"/>
    <w:rsid w:val="00605F0D"/>
    <w:rsid w:val="00607327"/>
    <w:rsid w:val="006078B5"/>
    <w:rsid w:val="006107CB"/>
    <w:rsid w:val="00610BA8"/>
    <w:rsid w:val="006118BE"/>
    <w:rsid w:val="00612085"/>
    <w:rsid w:val="00612B52"/>
    <w:rsid w:val="006133E4"/>
    <w:rsid w:val="00613FA3"/>
    <w:rsid w:val="0061436C"/>
    <w:rsid w:val="006147D3"/>
    <w:rsid w:val="00615A3A"/>
    <w:rsid w:val="00615A4A"/>
    <w:rsid w:val="00615A8C"/>
    <w:rsid w:val="00615B5C"/>
    <w:rsid w:val="00615CB1"/>
    <w:rsid w:val="00615D77"/>
    <w:rsid w:val="00615D88"/>
    <w:rsid w:val="00615FF5"/>
    <w:rsid w:val="006163C3"/>
    <w:rsid w:val="00616AB6"/>
    <w:rsid w:val="00616F0A"/>
    <w:rsid w:val="00617606"/>
    <w:rsid w:val="006178E4"/>
    <w:rsid w:val="006201CE"/>
    <w:rsid w:val="00620B19"/>
    <w:rsid w:val="00620F3D"/>
    <w:rsid w:val="00621018"/>
    <w:rsid w:val="006216A0"/>
    <w:rsid w:val="0062196D"/>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5C7E"/>
    <w:rsid w:val="00637589"/>
    <w:rsid w:val="00637859"/>
    <w:rsid w:val="00637AB1"/>
    <w:rsid w:val="00641106"/>
    <w:rsid w:val="006419A8"/>
    <w:rsid w:val="00641B7E"/>
    <w:rsid w:val="00642752"/>
    <w:rsid w:val="006429BC"/>
    <w:rsid w:val="00642A83"/>
    <w:rsid w:val="00642F3F"/>
    <w:rsid w:val="0064300D"/>
    <w:rsid w:val="00643083"/>
    <w:rsid w:val="006430EB"/>
    <w:rsid w:val="006434AB"/>
    <w:rsid w:val="006449CD"/>
    <w:rsid w:val="00644F56"/>
    <w:rsid w:val="006458B7"/>
    <w:rsid w:val="00645E63"/>
    <w:rsid w:val="00646054"/>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5A74"/>
    <w:rsid w:val="00657E4F"/>
    <w:rsid w:val="00657ECF"/>
    <w:rsid w:val="00657F0C"/>
    <w:rsid w:val="00660011"/>
    <w:rsid w:val="0066002B"/>
    <w:rsid w:val="0066012F"/>
    <w:rsid w:val="0066056D"/>
    <w:rsid w:val="00660ECE"/>
    <w:rsid w:val="006610EE"/>
    <w:rsid w:val="0066135C"/>
    <w:rsid w:val="006620F9"/>
    <w:rsid w:val="00662FB7"/>
    <w:rsid w:val="00663230"/>
    <w:rsid w:val="006634B8"/>
    <w:rsid w:val="0066385E"/>
    <w:rsid w:val="00663911"/>
    <w:rsid w:val="00663C3B"/>
    <w:rsid w:val="00664270"/>
    <w:rsid w:val="006646CF"/>
    <w:rsid w:val="006650AF"/>
    <w:rsid w:val="00665A5C"/>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C86"/>
    <w:rsid w:val="00673BF4"/>
    <w:rsid w:val="00673D46"/>
    <w:rsid w:val="00674542"/>
    <w:rsid w:val="00674B78"/>
    <w:rsid w:val="006751C8"/>
    <w:rsid w:val="00675513"/>
    <w:rsid w:val="0067593B"/>
    <w:rsid w:val="00675F2B"/>
    <w:rsid w:val="0067628D"/>
    <w:rsid w:val="00676A46"/>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5C54"/>
    <w:rsid w:val="0068631B"/>
    <w:rsid w:val="00686E58"/>
    <w:rsid w:val="00686E69"/>
    <w:rsid w:val="00687AD9"/>
    <w:rsid w:val="00690293"/>
    <w:rsid w:val="0069043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8FB"/>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EFF"/>
    <w:rsid w:val="006A5F4B"/>
    <w:rsid w:val="006A6F6C"/>
    <w:rsid w:val="006A6FAD"/>
    <w:rsid w:val="006A73E5"/>
    <w:rsid w:val="006A7B44"/>
    <w:rsid w:val="006A7D16"/>
    <w:rsid w:val="006A7D4E"/>
    <w:rsid w:val="006B17EB"/>
    <w:rsid w:val="006B1826"/>
    <w:rsid w:val="006B28CF"/>
    <w:rsid w:val="006B2C82"/>
    <w:rsid w:val="006B3385"/>
    <w:rsid w:val="006B347E"/>
    <w:rsid w:val="006B3540"/>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721"/>
    <w:rsid w:val="006C0965"/>
    <w:rsid w:val="006C1191"/>
    <w:rsid w:val="006C13AC"/>
    <w:rsid w:val="006C25C9"/>
    <w:rsid w:val="006C26F4"/>
    <w:rsid w:val="006C2882"/>
    <w:rsid w:val="006C292A"/>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D1A"/>
    <w:rsid w:val="006D1FC5"/>
    <w:rsid w:val="006D206D"/>
    <w:rsid w:val="006D24C7"/>
    <w:rsid w:val="006D2658"/>
    <w:rsid w:val="006D2ED0"/>
    <w:rsid w:val="006D3D85"/>
    <w:rsid w:val="006D4466"/>
    <w:rsid w:val="006D5098"/>
    <w:rsid w:val="006D55C8"/>
    <w:rsid w:val="006D60A8"/>
    <w:rsid w:val="006D6D52"/>
    <w:rsid w:val="006D6E7A"/>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38"/>
    <w:rsid w:val="006F6EF9"/>
    <w:rsid w:val="006F79E1"/>
    <w:rsid w:val="006F7A0A"/>
    <w:rsid w:val="006F7BCF"/>
    <w:rsid w:val="006F7C25"/>
    <w:rsid w:val="00700B6B"/>
    <w:rsid w:val="00700BC3"/>
    <w:rsid w:val="0070274F"/>
    <w:rsid w:val="00702FF9"/>
    <w:rsid w:val="00703F73"/>
    <w:rsid w:val="00704C08"/>
    <w:rsid w:val="00705818"/>
    <w:rsid w:val="00705B9C"/>
    <w:rsid w:val="00706011"/>
    <w:rsid w:val="00706C83"/>
    <w:rsid w:val="00707155"/>
    <w:rsid w:val="0070752C"/>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6B34"/>
    <w:rsid w:val="007176B8"/>
    <w:rsid w:val="007177ED"/>
    <w:rsid w:val="00717819"/>
    <w:rsid w:val="0071798B"/>
    <w:rsid w:val="00717DC8"/>
    <w:rsid w:val="007203A5"/>
    <w:rsid w:val="00720F53"/>
    <w:rsid w:val="00721087"/>
    <w:rsid w:val="0072135C"/>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8B"/>
    <w:rsid w:val="007372B0"/>
    <w:rsid w:val="0073751C"/>
    <w:rsid w:val="00737D6A"/>
    <w:rsid w:val="00737DC9"/>
    <w:rsid w:val="00737F4D"/>
    <w:rsid w:val="00740AB4"/>
    <w:rsid w:val="00740B38"/>
    <w:rsid w:val="00740FCE"/>
    <w:rsid w:val="00741106"/>
    <w:rsid w:val="00741B33"/>
    <w:rsid w:val="00741B82"/>
    <w:rsid w:val="00741E7D"/>
    <w:rsid w:val="00741F20"/>
    <w:rsid w:val="007424B9"/>
    <w:rsid w:val="00742CA2"/>
    <w:rsid w:val="00742F13"/>
    <w:rsid w:val="007436CD"/>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243"/>
    <w:rsid w:val="007614E3"/>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02"/>
    <w:rsid w:val="00765DBE"/>
    <w:rsid w:val="0076606C"/>
    <w:rsid w:val="007663D1"/>
    <w:rsid w:val="00766BA8"/>
    <w:rsid w:val="00766F47"/>
    <w:rsid w:val="0077022A"/>
    <w:rsid w:val="00770C9D"/>
    <w:rsid w:val="00770D10"/>
    <w:rsid w:val="00770E9B"/>
    <w:rsid w:val="00771124"/>
    <w:rsid w:val="007713C5"/>
    <w:rsid w:val="0077145F"/>
    <w:rsid w:val="007716F1"/>
    <w:rsid w:val="00771B27"/>
    <w:rsid w:val="00771F90"/>
    <w:rsid w:val="00772A56"/>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778"/>
    <w:rsid w:val="00781967"/>
    <w:rsid w:val="00782055"/>
    <w:rsid w:val="00782EDA"/>
    <w:rsid w:val="00782F72"/>
    <w:rsid w:val="00782FEB"/>
    <w:rsid w:val="00783265"/>
    <w:rsid w:val="0078358F"/>
    <w:rsid w:val="0078402E"/>
    <w:rsid w:val="00784264"/>
    <w:rsid w:val="007843C4"/>
    <w:rsid w:val="00784B68"/>
    <w:rsid w:val="00784C99"/>
    <w:rsid w:val="00784DED"/>
    <w:rsid w:val="007851CF"/>
    <w:rsid w:val="007853A8"/>
    <w:rsid w:val="0078543C"/>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819"/>
    <w:rsid w:val="00791981"/>
    <w:rsid w:val="00792335"/>
    <w:rsid w:val="0079256E"/>
    <w:rsid w:val="007927AB"/>
    <w:rsid w:val="0079298B"/>
    <w:rsid w:val="00792B38"/>
    <w:rsid w:val="00792C6C"/>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2928"/>
    <w:rsid w:val="007A324D"/>
    <w:rsid w:val="007A325B"/>
    <w:rsid w:val="007A3BBF"/>
    <w:rsid w:val="007A3DB5"/>
    <w:rsid w:val="007A3FD4"/>
    <w:rsid w:val="007A645A"/>
    <w:rsid w:val="007A6E51"/>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C4C"/>
    <w:rsid w:val="007B5A47"/>
    <w:rsid w:val="007B5CB4"/>
    <w:rsid w:val="007B601A"/>
    <w:rsid w:val="007B6146"/>
    <w:rsid w:val="007B7C7F"/>
    <w:rsid w:val="007B7EBD"/>
    <w:rsid w:val="007C045C"/>
    <w:rsid w:val="007C0DCF"/>
    <w:rsid w:val="007C0FDC"/>
    <w:rsid w:val="007C1728"/>
    <w:rsid w:val="007C1E90"/>
    <w:rsid w:val="007C1FEB"/>
    <w:rsid w:val="007C2343"/>
    <w:rsid w:val="007C25EB"/>
    <w:rsid w:val="007C2EB0"/>
    <w:rsid w:val="007C3D9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C5C"/>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47"/>
    <w:rsid w:val="007E7FB0"/>
    <w:rsid w:val="007F084E"/>
    <w:rsid w:val="007F16A2"/>
    <w:rsid w:val="007F1FD4"/>
    <w:rsid w:val="007F2151"/>
    <w:rsid w:val="007F3BF4"/>
    <w:rsid w:val="007F400E"/>
    <w:rsid w:val="007F4244"/>
    <w:rsid w:val="007F4368"/>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5F36"/>
    <w:rsid w:val="00806325"/>
    <w:rsid w:val="00806712"/>
    <w:rsid w:val="00806DF5"/>
    <w:rsid w:val="00806F56"/>
    <w:rsid w:val="008070DA"/>
    <w:rsid w:val="00807B70"/>
    <w:rsid w:val="0081007A"/>
    <w:rsid w:val="00810390"/>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E8C"/>
    <w:rsid w:val="008278B1"/>
    <w:rsid w:val="00827C35"/>
    <w:rsid w:val="00827E77"/>
    <w:rsid w:val="00827FFB"/>
    <w:rsid w:val="00830131"/>
    <w:rsid w:val="00830355"/>
    <w:rsid w:val="00830BDE"/>
    <w:rsid w:val="0083112C"/>
    <w:rsid w:val="00831200"/>
    <w:rsid w:val="00831893"/>
    <w:rsid w:val="00831E70"/>
    <w:rsid w:val="00832381"/>
    <w:rsid w:val="008338D0"/>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1D09"/>
    <w:rsid w:val="00842ABE"/>
    <w:rsid w:val="00842B58"/>
    <w:rsid w:val="00843035"/>
    <w:rsid w:val="0084354B"/>
    <w:rsid w:val="00843618"/>
    <w:rsid w:val="00843705"/>
    <w:rsid w:val="00843C50"/>
    <w:rsid w:val="00843D1A"/>
    <w:rsid w:val="00843D55"/>
    <w:rsid w:val="00843DD1"/>
    <w:rsid w:val="00843FD2"/>
    <w:rsid w:val="00844307"/>
    <w:rsid w:val="008446DE"/>
    <w:rsid w:val="0084492B"/>
    <w:rsid w:val="00845257"/>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FCA"/>
    <w:rsid w:val="008533D5"/>
    <w:rsid w:val="00854303"/>
    <w:rsid w:val="008544D5"/>
    <w:rsid w:val="00854627"/>
    <w:rsid w:val="00854AC1"/>
    <w:rsid w:val="00855434"/>
    <w:rsid w:val="008554CC"/>
    <w:rsid w:val="008556E8"/>
    <w:rsid w:val="00855FD7"/>
    <w:rsid w:val="00856769"/>
    <w:rsid w:val="00856E52"/>
    <w:rsid w:val="00856FA6"/>
    <w:rsid w:val="0085720E"/>
    <w:rsid w:val="00857868"/>
    <w:rsid w:val="00857D3E"/>
    <w:rsid w:val="00857E6C"/>
    <w:rsid w:val="00860184"/>
    <w:rsid w:val="008603BD"/>
    <w:rsid w:val="00860D8F"/>
    <w:rsid w:val="00860ECC"/>
    <w:rsid w:val="0086122E"/>
    <w:rsid w:val="00861683"/>
    <w:rsid w:val="00861CDC"/>
    <w:rsid w:val="00861ED9"/>
    <w:rsid w:val="00862185"/>
    <w:rsid w:val="0086293C"/>
    <w:rsid w:val="00863961"/>
    <w:rsid w:val="0086401C"/>
    <w:rsid w:val="008640F9"/>
    <w:rsid w:val="008643E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713"/>
    <w:rsid w:val="00873BC4"/>
    <w:rsid w:val="008748AB"/>
    <w:rsid w:val="008748AC"/>
    <w:rsid w:val="00874EFF"/>
    <w:rsid w:val="00875365"/>
    <w:rsid w:val="0087541D"/>
    <w:rsid w:val="00875748"/>
    <w:rsid w:val="008757DF"/>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3568"/>
    <w:rsid w:val="00883592"/>
    <w:rsid w:val="008835D0"/>
    <w:rsid w:val="00883AEE"/>
    <w:rsid w:val="00883DB5"/>
    <w:rsid w:val="00883E77"/>
    <w:rsid w:val="008840F0"/>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97864"/>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86D"/>
    <w:rsid w:val="008B1C04"/>
    <w:rsid w:val="008B1D3A"/>
    <w:rsid w:val="008B2920"/>
    <w:rsid w:val="008B364B"/>
    <w:rsid w:val="008B40C6"/>
    <w:rsid w:val="008B494B"/>
    <w:rsid w:val="008B502A"/>
    <w:rsid w:val="008B6030"/>
    <w:rsid w:val="008B642B"/>
    <w:rsid w:val="008B6A77"/>
    <w:rsid w:val="008B72A9"/>
    <w:rsid w:val="008B770A"/>
    <w:rsid w:val="008C006E"/>
    <w:rsid w:val="008C06C4"/>
    <w:rsid w:val="008C0AE4"/>
    <w:rsid w:val="008C0C9B"/>
    <w:rsid w:val="008C0DE4"/>
    <w:rsid w:val="008C0EAA"/>
    <w:rsid w:val="008C1090"/>
    <w:rsid w:val="008C19BA"/>
    <w:rsid w:val="008C1BB8"/>
    <w:rsid w:val="008C1CDE"/>
    <w:rsid w:val="008C1DD1"/>
    <w:rsid w:val="008C2AC9"/>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6BF"/>
    <w:rsid w:val="008D4A58"/>
    <w:rsid w:val="008D565E"/>
    <w:rsid w:val="008D5A50"/>
    <w:rsid w:val="008D5BAB"/>
    <w:rsid w:val="008D5BD2"/>
    <w:rsid w:val="008D6941"/>
    <w:rsid w:val="008D6F61"/>
    <w:rsid w:val="008E018D"/>
    <w:rsid w:val="008E0448"/>
    <w:rsid w:val="008E0543"/>
    <w:rsid w:val="008E0F17"/>
    <w:rsid w:val="008E101D"/>
    <w:rsid w:val="008E1091"/>
    <w:rsid w:val="008E158C"/>
    <w:rsid w:val="008E169D"/>
    <w:rsid w:val="008E1736"/>
    <w:rsid w:val="008E1CBB"/>
    <w:rsid w:val="008E1EB9"/>
    <w:rsid w:val="008E2E86"/>
    <w:rsid w:val="008E2F4E"/>
    <w:rsid w:val="008E4053"/>
    <w:rsid w:val="008E496F"/>
    <w:rsid w:val="008E4D3F"/>
    <w:rsid w:val="008E6027"/>
    <w:rsid w:val="008E686B"/>
    <w:rsid w:val="008E6CE3"/>
    <w:rsid w:val="008E7016"/>
    <w:rsid w:val="008E71DB"/>
    <w:rsid w:val="008E7B48"/>
    <w:rsid w:val="008E7EB4"/>
    <w:rsid w:val="008F0F44"/>
    <w:rsid w:val="008F2510"/>
    <w:rsid w:val="008F2AC0"/>
    <w:rsid w:val="008F2B67"/>
    <w:rsid w:val="008F301F"/>
    <w:rsid w:val="008F316D"/>
    <w:rsid w:val="008F390E"/>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3DC"/>
    <w:rsid w:val="00900682"/>
    <w:rsid w:val="0090089A"/>
    <w:rsid w:val="00900A10"/>
    <w:rsid w:val="009014CA"/>
    <w:rsid w:val="00901A1C"/>
    <w:rsid w:val="009021E9"/>
    <w:rsid w:val="00902210"/>
    <w:rsid w:val="0090279F"/>
    <w:rsid w:val="00902C87"/>
    <w:rsid w:val="00902F8A"/>
    <w:rsid w:val="009038A9"/>
    <w:rsid w:val="00904908"/>
    <w:rsid w:val="00905A3E"/>
    <w:rsid w:val="00905D93"/>
    <w:rsid w:val="00905E15"/>
    <w:rsid w:val="0090674E"/>
    <w:rsid w:val="00906F14"/>
    <w:rsid w:val="00907020"/>
    <w:rsid w:val="009070E8"/>
    <w:rsid w:val="009078A9"/>
    <w:rsid w:val="00907947"/>
    <w:rsid w:val="00907CE5"/>
    <w:rsid w:val="009103AF"/>
    <w:rsid w:val="00910575"/>
    <w:rsid w:val="009108A2"/>
    <w:rsid w:val="00910A2D"/>
    <w:rsid w:val="00910DF1"/>
    <w:rsid w:val="00911150"/>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F6E"/>
    <w:rsid w:val="00923FCA"/>
    <w:rsid w:val="0092403F"/>
    <w:rsid w:val="0092441A"/>
    <w:rsid w:val="00924DA5"/>
    <w:rsid w:val="009250DB"/>
    <w:rsid w:val="0092530C"/>
    <w:rsid w:val="00925DD0"/>
    <w:rsid w:val="00926424"/>
    <w:rsid w:val="0092658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EAE"/>
    <w:rsid w:val="00937F12"/>
    <w:rsid w:val="009409A5"/>
    <w:rsid w:val="009412C6"/>
    <w:rsid w:val="00941F7B"/>
    <w:rsid w:val="00941FC7"/>
    <w:rsid w:val="009426F7"/>
    <w:rsid w:val="009436C6"/>
    <w:rsid w:val="009446EA"/>
    <w:rsid w:val="009447F7"/>
    <w:rsid w:val="009449BA"/>
    <w:rsid w:val="00944B8C"/>
    <w:rsid w:val="00945114"/>
    <w:rsid w:val="00945157"/>
    <w:rsid w:val="00946597"/>
    <w:rsid w:val="00947445"/>
    <w:rsid w:val="009476E1"/>
    <w:rsid w:val="00947E65"/>
    <w:rsid w:val="009502CE"/>
    <w:rsid w:val="0095062F"/>
    <w:rsid w:val="00951ABD"/>
    <w:rsid w:val="00951FEB"/>
    <w:rsid w:val="0095220B"/>
    <w:rsid w:val="00952316"/>
    <w:rsid w:val="00952327"/>
    <w:rsid w:val="00952B7C"/>
    <w:rsid w:val="00954215"/>
    <w:rsid w:val="00954A84"/>
    <w:rsid w:val="00954C66"/>
    <w:rsid w:val="00954CD0"/>
    <w:rsid w:val="00954DF5"/>
    <w:rsid w:val="00955570"/>
    <w:rsid w:val="00955AA3"/>
    <w:rsid w:val="00956200"/>
    <w:rsid w:val="009564A8"/>
    <w:rsid w:val="009565BF"/>
    <w:rsid w:val="00956C8A"/>
    <w:rsid w:val="009572F7"/>
    <w:rsid w:val="009577B8"/>
    <w:rsid w:val="00957B9D"/>
    <w:rsid w:val="00961446"/>
    <w:rsid w:val="00961DED"/>
    <w:rsid w:val="0096225A"/>
    <w:rsid w:val="00963AD4"/>
    <w:rsid w:val="00963BBC"/>
    <w:rsid w:val="00964255"/>
    <w:rsid w:val="00964A24"/>
    <w:rsid w:val="009651A6"/>
    <w:rsid w:val="0096596A"/>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4D28"/>
    <w:rsid w:val="0098598C"/>
    <w:rsid w:val="00985B18"/>
    <w:rsid w:val="0098667D"/>
    <w:rsid w:val="00986810"/>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4FAF"/>
    <w:rsid w:val="00995128"/>
    <w:rsid w:val="0099527E"/>
    <w:rsid w:val="00996948"/>
    <w:rsid w:val="00996D1C"/>
    <w:rsid w:val="009977E9"/>
    <w:rsid w:val="009A020F"/>
    <w:rsid w:val="009A067C"/>
    <w:rsid w:val="009A187F"/>
    <w:rsid w:val="009A20C6"/>
    <w:rsid w:val="009A2DC0"/>
    <w:rsid w:val="009A3267"/>
    <w:rsid w:val="009A3716"/>
    <w:rsid w:val="009A4121"/>
    <w:rsid w:val="009A546A"/>
    <w:rsid w:val="009A5F26"/>
    <w:rsid w:val="009A6640"/>
    <w:rsid w:val="009A6CB0"/>
    <w:rsid w:val="009A753D"/>
    <w:rsid w:val="009A79D0"/>
    <w:rsid w:val="009A7DF9"/>
    <w:rsid w:val="009B089D"/>
    <w:rsid w:val="009B0CE9"/>
    <w:rsid w:val="009B0D3E"/>
    <w:rsid w:val="009B1469"/>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A5F"/>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4E5"/>
    <w:rsid w:val="009C77CF"/>
    <w:rsid w:val="009C7F1F"/>
    <w:rsid w:val="009D0202"/>
    <w:rsid w:val="009D0769"/>
    <w:rsid w:val="009D0EC7"/>
    <w:rsid w:val="009D0F6C"/>
    <w:rsid w:val="009D1438"/>
    <w:rsid w:val="009D15E4"/>
    <w:rsid w:val="009D17C2"/>
    <w:rsid w:val="009D1CAA"/>
    <w:rsid w:val="009D246C"/>
    <w:rsid w:val="009D26AB"/>
    <w:rsid w:val="009D2ED2"/>
    <w:rsid w:val="009D3832"/>
    <w:rsid w:val="009D45C5"/>
    <w:rsid w:val="009D51A2"/>
    <w:rsid w:val="009D5887"/>
    <w:rsid w:val="009D61DB"/>
    <w:rsid w:val="009E098C"/>
    <w:rsid w:val="009E0E48"/>
    <w:rsid w:val="009E0FB7"/>
    <w:rsid w:val="009E125D"/>
    <w:rsid w:val="009E1584"/>
    <w:rsid w:val="009E1B16"/>
    <w:rsid w:val="009E2763"/>
    <w:rsid w:val="009E2872"/>
    <w:rsid w:val="009E3B98"/>
    <w:rsid w:val="009E4A14"/>
    <w:rsid w:val="009E4D28"/>
    <w:rsid w:val="009E5133"/>
    <w:rsid w:val="009E541D"/>
    <w:rsid w:val="009E5704"/>
    <w:rsid w:val="009E5911"/>
    <w:rsid w:val="009E5D21"/>
    <w:rsid w:val="009E5DDF"/>
    <w:rsid w:val="009E75F7"/>
    <w:rsid w:val="009F01A3"/>
    <w:rsid w:val="009F047E"/>
    <w:rsid w:val="009F0D5B"/>
    <w:rsid w:val="009F16D8"/>
    <w:rsid w:val="009F1A2B"/>
    <w:rsid w:val="009F2CCF"/>
    <w:rsid w:val="009F307D"/>
    <w:rsid w:val="009F34AE"/>
    <w:rsid w:val="009F3A16"/>
    <w:rsid w:val="009F3BEC"/>
    <w:rsid w:val="009F3E23"/>
    <w:rsid w:val="009F445D"/>
    <w:rsid w:val="009F451D"/>
    <w:rsid w:val="009F4DC3"/>
    <w:rsid w:val="009F5B4F"/>
    <w:rsid w:val="009F6E49"/>
    <w:rsid w:val="009F726A"/>
    <w:rsid w:val="009F7685"/>
    <w:rsid w:val="009F7946"/>
    <w:rsid w:val="00A024D3"/>
    <w:rsid w:val="00A02D0F"/>
    <w:rsid w:val="00A04117"/>
    <w:rsid w:val="00A04FCB"/>
    <w:rsid w:val="00A051CE"/>
    <w:rsid w:val="00A0533E"/>
    <w:rsid w:val="00A053C7"/>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17D06"/>
    <w:rsid w:val="00A202EE"/>
    <w:rsid w:val="00A205A8"/>
    <w:rsid w:val="00A207CA"/>
    <w:rsid w:val="00A21023"/>
    <w:rsid w:val="00A21216"/>
    <w:rsid w:val="00A21DE8"/>
    <w:rsid w:val="00A224EE"/>
    <w:rsid w:val="00A22DAB"/>
    <w:rsid w:val="00A232AC"/>
    <w:rsid w:val="00A24514"/>
    <w:rsid w:val="00A24DE2"/>
    <w:rsid w:val="00A252F2"/>
    <w:rsid w:val="00A2697F"/>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411"/>
    <w:rsid w:val="00A3355C"/>
    <w:rsid w:val="00A33768"/>
    <w:rsid w:val="00A33E4A"/>
    <w:rsid w:val="00A33E56"/>
    <w:rsid w:val="00A3423A"/>
    <w:rsid w:val="00A34939"/>
    <w:rsid w:val="00A34E65"/>
    <w:rsid w:val="00A3661C"/>
    <w:rsid w:val="00A368E9"/>
    <w:rsid w:val="00A36D4C"/>
    <w:rsid w:val="00A36FE4"/>
    <w:rsid w:val="00A371FA"/>
    <w:rsid w:val="00A37296"/>
    <w:rsid w:val="00A374C8"/>
    <w:rsid w:val="00A37A66"/>
    <w:rsid w:val="00A37D01"/>
    <w:rsid w:val="00A40879"/>
    <w:rsid w:val="00A40AD6"/>
    <w:rsid w:val="00A40B01"/>
    <w:rsid w:val="00A414AC"/>
    <w:rsid w:val="00A41899"/>
    <w:rsid w:val="00A41AD3"/>
    <w:rsid w:val="00A4328D"/>
    <w:rsid w:val="00A43323"/>
    <w:rsid w:val="00A4353D"/>
    <w:rsid w:val="00A43750"/>
    <w:rsid w:val="00A43A2C"/>
    <w:rsid w:val="00A43D8E"/>
    <w:rsid w:val="00A444FB"/>
    <w:rsid w:val="00A45D1A"/>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51ED"/>
    <w:rsid w:val="00A5566C"/>
    <w:rsid w:val="00A56230"/>
    <w:rsid w:val="00A568DD"/>
    <w:rsid w:val="00A5697C"/>
    <w:rsid w:val="00A57123"/>
    <w:rsid w:val="00A5727D"/>
    <w:rsid w:val="00A575DD"/>
    <w:rsid w:val="00A5793E"/>
    <w:rsid w:val="00A5798E"/>
    <w:rsid w:val="00A57F86"/>
    <w:rsid w:val="00A600EB"/>
    <w:rsid w:val="00A60561"/>
    <w:rsid w:val="00A60EBA"/>
    <w:rsid w:val="00A61895"/>
    <w:rsid w:val="00A6196B"/>
    <w:rsid w:val="00A61C11"/>
    <w:rsid w:val="00A6241F"/>
    <w:rsid w:val="00A63CDC"/>
    <w:rsid w:val="00A63D53"/>
    <w:rsid w:val="00A63F34"/>
    <w:rsid w:val="00A644DE"/>
    <w:rsid w:val="00A645E1"/>
    <w:rsid w:val="00A6611E"/>
    <w:rsid w:val="00A67623"/>
    <w:rsid w:val="00A67A3E"/>
    <w:rsid w:val="00A67B64"/>
    <w:rsid w:val="00A67E61"/>
    <w:rsid w:val="00A70256"/>
    <w:rsid w:val="00A70599"/>
    <w:rsid w:val="00A708AE"/>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7710"/>
    <w:rsid w:val="00A7779D"/>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717"/>
    <w:rsid w:val="00A90A55"/>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6597"/>
    <w:rsid w:val="00AA729C"/>
    <w:rsid w:val="00AA729F"/>
    <w:rsid w:val="00AA7A6F"/>
    <w:rsid w:val="00AB1DAE"/>
    <w:rsid w:val="00AB1F9A"/>
    <w:rsid w:val="00AB2163"/>
    <w:rsid w:val="00AB217A"/>
    <w:rsid w:val="00AB2514"/>
    <w:rsid w:val="00AB265D"/>
    <w:rsid w:val="00AB2781"/>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3FA"/>
    <w:rsid w:val="00AD7755"/>
    <w:rsid w:val="00AE0192"/>
    <w:rsid w:val="00AE0E8B"/>
    <w:rsid w:val="00AE18B3"/>
    <w:rsid w:val="00AE20A2"/>
    <w:rsid w:val="00AE2B9E"/>
    <w:rsid w:val="00AE2D81"/>
    <w:rsid w:val="00AE327C"/>
    <w:rsid w:val="00AE332C"/>
    <w:rsid w:val="00AE360A"/>
    <w:rsid w:val="00AE37BC"/>
    <w:rsid w:val="00AE39AF"/>
    <w:rsid w:val="00AE3BB4"/>
    <w:rsid w:val="00AE41AF"/>
    <w:rsid w:val="00AE4511"/>
    <w:rsid w:val="00AE4A1F"/>
    <w:rsid w:val="00AE4EB1"/>
    <w:rsid w:val="00AE4F8D"/>
    <w:rsid w:val="00AE58F5"/>
    <w:rsid w:val="00AE5BA7"/>
    <w:rsid w:val="00AE5CC3"/>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05D"/>
    <w:rsid w:val="00AF5475"/>
    <w:rsid w:val="00AF5513"/>
    <w:rsid w:val="00AF5631"/>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FEA"/>
    <w:rsid w:val="00B0304D"/>
    <w:rsid w:val="00B032ED"/>
    <w:rsid w:val="00B0355E"/>
    <w:rsid w:val="00B0399A"/>
    <w:rsid w:val="00B049BE"/>
    <w:rsid w:val="00B0544C"/>
    <w:rsid w:val="00B058D3"/>
    <w:rsid w:val="00B06290"/>
    <w:rsid w:val="00B07272"/>
    <w:rsid w:val="00B07877"/>
    <w:rsid w:val="00B10EBC"/>
    <w:rsid w:val="00B1195E"/>
    <w:rsid w:val="00B12B1A"/>
    <w:rsid w:val="00B12C3B"/>
    <w:rsid w:val="00B12CB3"/>
    <w:rsid w:val="00B12EE5"/>
    <w:rsid w:val="00B12EF7"/>
    <w:rsid w:val="00B12FFB"/>
    <w:rsid w:val="00B1323F"/>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C2F"/>
    <w:rsid w:val="00B43DDB"/>
    <w:rsid w:val="00B43FF7"/>
    <w:rsid w:val="00B43FFC"/>
    <w:rsid w:val="00B44625"/>
    <w:rsid w:val="00B453F2"/>
    <w:rsid w:val="00B455D4"/>
    <w:rsid w:val="00B4722A"/>
    <w:rsid w:val="00B51434"/>
    <w:rsid w:val="00B51715"/>
    <w:rsid w:val="00B51895"/>
    <w:rsid w:val="00B52B18"/>
    <w:rsid w:val="00B535D2"/>
    <w:rsid w:val="00B53A5A"/>
    <w:rsid w:val="00B53B8E"/>
    <w:rsid w:val="00B53DE2"/>
    <w:rsid w:val="00B54639"/>
    <w:rsid w:val="00B54AD0"/>
    <w:rsid w:val="00B556E3"/>
    <w:rsid w:val="00B5591A"/>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DF"/>
    <w:rsid w:val="00B70546"/>
    <w:rsid w:val="00B7077E"/>
    <w:rsid w:val="00B70DF3"/>
    <w:rsid w:val="00B71051"/>
    <w:rsid w:val="00B710B7"/>
    <w:rsid w:val="00B71261"/>
    <w:rsid w:val="00B712A8"/>
    <w:rsid w:val="00B71370"/>
    <w:rsid w:val="00B71576"/>
    <w:rsid w:val="00B7198C"/>
    <w:rsid w:val="00B71CD5"/>
    <w:rsid w:val="00B71D72"/>
    <w:rsid w:val="00B731D4"/>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D36"/>
    <w:rsid w:val="00B86529"/>
    <w:rsid w:val="00B86B62"/>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5F85"/>
    <w:rsid w:val="00B96A34"/>
    <w:rsid w:val="00B96BFE"/>
    <w:rsid w:val="00B97096"/>
    <w:rsid w:val="00B971D9"/>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266"/>
    <w:rsid w:val="00BB53C4"/>
    <w:rsid w:val="00BB53C9"/>
    <w:rsid w:val="00BB565F"/>
    <w:rsid w:val="00BB5898"/>
    <w:rsid w:val="00BB5C3A"/>
    <w:rsid w:val="00BB6664"/>
    <w:rsid w:val="00BB698D"/>
    <w:rsid w:val="00BB69E5"/>
    <w:rsid w:val="00BB6A0E"/>
    <w:rsid w:val="00BB6B48"/>
    <w:rsid w:val="00BB7039"/>
    <w:rsid w:val="00BB72F5"/>
    <w:rsid w:val="00BC0C41"/>
    <w:rsid w:val="00BC0DC6"/>
    <w:rsid w:val="00BC0E07"/>
    <w:rsid w:val="00BC124B"/>
    <w:rsid w:val="00BC30EB"/>
    <w:rsid w:val="00BC33BC"/>
    <w:rsid w:val="00BC3A34"/>
    <w:rsid w:val="00BC3F74"/>
    <w:rsid w:val="00BC4029"/>
    <w:rsid w:val="00BC4245"/>
    <w:rsid w:val="00BC4FF7"/>
    <w:rsid w:val="00BC5EC6"/>
    <w:rsid w:val="00BC5ECA"/>
    <w:rsid w:val="00BC5FA2"/>
    <w:rsid w:val="00BC61E3"/>
    <w:rsid w:val="00BC6B61"/>
    <w:rsid w:val="00BC744E"/>
    <w:rsid w:val="00BC7C8F"/>
    <w:rsid w:val="00BD041A"/>
    <w:rsid w:val="00BD05CA"/>
    <w:rsid w:val="00BD08C8"/>
    <w:rsid w:val="00BD0932"/>
    <w:rsid w:val="00BD123B"/>
    <w:rsid w:val="00BD1838"/>
    <w:rsid w:val="00BD215F"/>
    <w:rsid w:val="00BD21D2"/>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60B1"/>
    <w:rsid w:val="00C17342"/>
    <w:rsid w:val="00C17E56"/>
    <w:rsid w:val="00C200D6"/>
    <w:rsid w:val="00C2011F"/>
    <w:rsid w:val="00C20238"/>
    <w:rsid w:val="00C20467"/>
    <w:rsid w:val="00C20653"/>
    <w:rsid w:val="00C206EA"/>
    <w:rsid w:val="00C208FB"/>
    <w:rsid w:val="00C20C78"/>
    <w:rsid w:val="00C215D0"/>
    <w:rsid w:val="00C220EB"/>
    <w:rsid w:val="00C225F7"/>
    <w:rsid w:val="00C228CE"/>
    <w:rsid w:val="00C22C1A"/>
    <w:rsid w:val="00C22FA5"/>
    <w:rsid w:val="00C232F1"/>
    <w:rsid w:val="00C23C48"/>
    <w:rsid w:val="00C242B3"/>
    <w:rsid w:val="00C24332"/>
    <w:rsid w:val="00C24974"/>
    <w:rsid w:val="00C24A9D"/>
    <w:rsid w:val="00C24CAA"/>
    <w:rsid w:val="00C250D3"/>
    <w:rsid w:val="00C2617F"/>
    <w:rsid w:val="00C26272"/>
    <w:rsid w:val="00C27490"/>
    <w:rsid w:val="00C2760D"/>
    <w:rsid w:val="00C30BA4"/>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CAF"/>
    <w:rsid w:val="00C37D4F"/>
    <w:rsid w:val="00C40392"/>
    <w:rsid w:val="00C410BE"/>
    <w:rsid w:val="00C421B7"/>
    <w:rsid w:val="00C42ED0"/>
    <w:rsid w:val="00C43A05"/>
    <w:rsid w:val="00C43C94"/>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7B8"/>
    <w:rsid w:val="00C52EA9"/>
    <w:rsid w:val="00C53A38"/>
    <w:rsid w:val="00C53A87"/>
    <w:rsid w:val="00C53E87"/>
    <w:rsid w:val="00C543CC"/>
    <w:rsid w:val="00C544BF"/>
    <w:rsid w:val="00C54940"/>
    <w:rsid w:val="00C549ED"/>
    <w:rsid w:val="00C54B71"/>
    <w:rsid w:val="00C54F88"/>
    <w:rsid w:val="00C551A9"/>
    <w:rsid w:val="00C55414"/>
    <w:rsid w:val="00C55921"/>
    <w:rsid w:val="00C56034"/>
    <w:rsid w:val="00C5613F"/>
    <w:rsid w:val="00C563A2"/>
    <w:rsid w:val="00C5655D"/>
    <w:rsid w:val="00C56A89"/>
    <w:rsid w:val="00C56BE4"/>
    <w:rsid w:val="00C57126"/>
    <w:rsid w:val="00C57198"/>
    <w:rsid w:val="00C57D8A"/>
    <w:rsid w:val="00C600FA"/>
    <w:rsid w:val="00C6059D"/>
    <w:rsid w:val="00C60F9B"/>
    <w:rsid w:val="00C610CE"/>
    <w:rsid w:val="00C6125B"/>
    <w:rsid w:val="00C6140B"/>
    <w:rsid w:val="00C61705"/>
    <w:rsid w:val="00C6188F"/>
    <w:rsid w:val="00C618E5"/>
    <w:rsid w:val="00C6193A"/>
    <w:rsid w:val="00C61D3B"/>
    <w:rsid w:val="00C62546"/>
    <w:rsid w:val="00C62596"/>
    <w:rsid w:val="00C625F5"/>
    <w:rsid w:val="00C62B91"/>
    <w:rsid w:val="00C62BAD"/>
    <w:rsid w:val="00C63085"/>
    <w:rsid w:val="00C63980"/>
    <w:rsid w:val="00C63E32"/>
    <w:rsid w:val="00C643E9"/>
    <w:rsid w:val="00C64585"/>
    <w:rsid w:val="00C64837"/>
    <w:rsid w:val="00C64FF0"/>
    <w:rsid w:val="00C65006"/>
    <w:rsid w:val="00C66215"/>
    <w:rsid w:val="00C66879"/>
    <w:rsid w:val="00C670E1"/>
    <w:rsid w:val="00C671D7"/>
    <w:rsid w:val="00C67328"/>
    <w:rsid w:val="00C67622"/>
    <w:rsid w:val="00C6771C"/>
    <w:rsid w:val="00C6776A"/>
    <w:rsid w:val="00C70140"/>
    <w:rsid w:val="00C7084B"/>
    <w:rsid w:val="00C70F99"/>
    <w:rsid w:val="00C711E0"/>
    <w:rsid w:val="00C71218"/>
    <w:rsid w:val="00C71F57"/>
    <w:rsid w:val="00C72210"/>
    <w:rsid w:val="00C72CD0"/>
    <w:rsid w:val="00C73800"/>
    <w:rsid w:val="00C73A02"/>
    <w:rsid w:val="00C73CD0"/>
    <w:rsid w:val="00C73F34"/>
    <w:rsid w:val="00C74D1D"/>
    <w:rsid w:val="00C75058"/>
    <w:rsid w:val="00C753B1"/>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473"/>
    <w:rsid w:val="00C83756"/>
    <w:rsid w:val="00C83863"/>
    <w:rsid w:val="00C83A2B"/>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2E9"/>
    <w:rsid w:val="00C97B7D"/>
    <w:rsid w:val="00C97FAC"/>
    <w:rsid w:val="00CA082A"/>
    <w:rsid w:val="00CA14E2"/>
    <w:rsid w:val="00CA17FD"/>
    <w:rsid w:val="00CA18DB"/>
    <w:rsid w:val="00CA220D"/>
    <w:rsid w:val="00CA22E2"/>
    <w:rsid w:val="00CA266E"/>
    <w:rsid w:val="00CA33AF"/>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272"/>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3AF"/>
    <w:rsid w:val="00CB6E70"/>
    <w:rsid w:val="00CB7374"/>
    <w:rsid w:val="00CB75F7"/>
    <w:rsid w:val="00CB79AA"/>
    <w:rsid w:val="00CB7A13"/>
    <w:rsid w:val="00CB7A97"/>
    <w:rsid w:val="00CB7D99"/>
    <w:rsid w:val="00CB7DB8"/>
    <w:rsid w:val="00CC00ED"/>
    <w:rsid w:val="00CC0360"/>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186"/>
    <w:rsid w:val="00CD4704"/>
    <w:rsid w:val="00CD4CA6"/>
    <w:rsid w:val="00CD5157"/>
    <w:rsid w:val="00CD53B1"/>
    <w:rsid w:val="00CD546E"/>
    <w:rsid w:val="00CD5C91"/>
    <w:rsid w:val="00CD66F3"/>
    <w:rsid w:val="00CD6800"/>
    <w:rsid w:val="00CD690A"/>
    <w:rsid w:val="00CD6D6B"/>
    <w:rsid w:val="00CD7804"/>
    <w:rsid w:val="00CD7F4D"/>
    <w:rsid w:val="00CE0402"/>
    <w:rsid w:val="00CE066C"/>
    <w:rsid w:val="00CE0DAE"/>
    <w:rsid w:val="00CE112D"/>
    <w:rsid w:val="00CE1480"/>
    <w:rsid w:val="00CE1F1F"/>
    <w:rsid w:val="00CE2618"/>
    <w:rsid w:val="00CE29FE"/>
    <w:rsid w:val="00CE2A2B"/>
    <w:rsid w:val="00CE2F84"/>
    <w:rsid w:val="00CE3B78"/>
    <w:rsid w:val="00CE3EAA"/>
    <w:rsid w:val="00CE4E0F"/>
    <w:rsid w:val="00CE4F8B"/>
    <w:rsid w:val="00CE566C"/>
    <w:rsid w:val="00CE597D"/>
    <w:rsid w:val="00CE5B93"/>
    <w:rsid w:val="00CE6665"/>
    <w:rsid w:val="00CE7370"/>
    <w:rsid w:val="00CE7736"/>
    <w:rsid w:val="00CE7998"/>
    <w:rsid w:val="00CE7E8B"/>
    <w:rsid w:val="00CE7F74"/>
    <w:rsid w:val="00CF01AC"/>
    <w:rsid w:val="00CF0260"/>
    <w:rsid w:val="00CF03A8"/>
    <w:rsid w:val="00CF0736"/>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FF7"/>
    <w:rsid w:val="00D06EB3"/>
    <w:rsid w:val="00D06F92"/>
    <w:rsid w:val="00D07082"/>
    <w:rsid w:val="00D07B94"/>
    <w:rsid w:val="00D07EC2"/>
    <w:rsid w:val="00D1009F"/>
    <w:rsid w:val="00D10248"/>
    <w:rsid w:val="00D10778"/>
    <w:rsid w:val="00D107EF"/>
    <w:rsid w:val="00D108E8"/>
    <w:rsid w:val="00D10D58"/>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1563"/>
    <w:rsid w:val="00D215F3"/>
    <w:rsid w:val="00D2208F"/>
    <w:rsid w:val="00D22C71"/>
    <w:rsid w:val="00D22EDA"/>
    <w:rsid w:val="00D230A5"/>
    <w:rsid w:val="00D23248"/>
    <w:rsid w:val="00D23602"/>
    <w:rsid w:val="00D23DCA"/>
    <w:rsid w:val="00D247B7"/>
    <w:rsid w:val="00D24EB6"/>
    <w:rsid w:val="00D24FF5"/>
    <w:rsid w:val="00D25DA1"/>
    <w:rsid w:val="00D26DED"/>
    <w:rsid w:val="00D2719E"/>
    <w:rsid w:val="00D27B3D"/>
    <w:rsid w:val="00D3051E"/>
    <w:rsid w:val="00D31133"/>
    <w:rsid w:val="00D312DF"/>
    <w:rsid w:val="00D3142E"/>
    <w:rsid w:val="00D31779"/>
    <w:rsid w:val="00D318CD"/>
    <w:rsid w:val="00D32097"/>
    <w:rsid w:val="00D327AF"/>
    <w:rsid w:val="00D33009"/>
    <w:rsid w:val="00D335AC"/>
    <w:rsid w:val="00D338F7"/>
    <w:rsid w:val="00D33ACD"/>
    <w:rsid w:val="00D348E4"/>
    <w:rsid w:val="00D34B4D"/>
    <w:rsid w:val="00D34D7D"/>
    <w:rsid w:val="00D35223"/>
    <w:rsid w:val="00D356A7"/>
    <w:rsid w:val="00D356E0"/>
    <w:rsid w:val="00D3618E"/>
    <w:rsid w:val="00D362CA"/>
    <w:rsid w:val="00D365A6"/>
    <w:rsid w:val="00D36D59"/>
    <w:rsid w:val="00D37AF7"/>
    <w:rsid w:val="00D37D75"/>
    <w:rsid w:val="00D40C12"/>
    <w:rsid w:val="00D40C65"/>
    <w:rsid w:val="00D40DAB"/>
    <w:rsid w:val="00D40F11"/>
    <w:rsid w:val="00D41325"/>
    <w:rsid w:val="00D41AF2"/>
    <w:rsid w:val="00D42028"/>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1CC0"/>
    <w:rsid w:val="00D725AF"/>
    <w:rsid w:val="00D72B03"/>
    <w:rsid w:val="00D72E1A"/>
    <w:rsid w:val="00D733BF"/>
    <w:rsid w:val="00D733D4"/>
    <w:rsid w:val="00D73B8B"/>
    <w:rsid w:val="00D73BB1"/>
    <w:rsid w:val="00D74BE6"/>
    <w:rsid w:val="00D74EF6"/>
    <w:rsid w:val="00D753B6"/>
    <w:rsid w:val="00D759AC"/>
    <w:rsid w:val="00D76329"/>
    <w:rsid w:val="00D76F3F"/>
    <w:rsid w:val="00D77CB9"/>
    <w:rsid w:val="00D80203"/>
    <w:rsid w:val="00D8023F"/>
    <w:rsid w:val="00D80536"/>
    <w:rsid w:val="00D80699"/>
    <w:rsid w:val="00D806E8"/>
    <w:rsid w:val="00D82B73"/>
    <w:rsid w:val="00D82C7B"/>
    <w:rsid w:val="00D82DB4"/>
    <w:rsid w:val="00D8373D"/>
    <w:rsid w:val="00D84C38"/>
    <w:rsid w:val="00D84E2B"/>
    <w:rsid w:val="00D8542D"/>
    <w:rsid w:val="00D858A8"/>
    <w:rsid w:val="00D85A59"/>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430"/>
    <w:rsid w:val="00D91C81"/>
    <w:rsid w:val="00D92E01"/>
    <w:rsid w:val="00D93529"/>
    <w:rsid w:val="00D93BE3"/>
    <w:rsid w:val="00D941F2"/>
    <w:rsid w:val="00D94390"/>
    <w:rsid w:val="00D9464F"/>
    <w:rsid w:val="00D95135"/>
    <w:rsid w:val="00D9542E"/>
    <w:rsid w:val="00D957EA"/>
    <w:rsid w:val="00D958E3"/>
    <w:rsid w:val="00D95DF8"/>
    <w:rsid w:val="00D96559"/>
    <w:rsid w:val="00D971BD"/>
    <w:rsid w:val="00D9794F"/>
    <w:rsid w:val="00D97B42"/>
    <w:rsid w:val="00D97C4F"/>
    <w:rsid w:val="00D97EC9"/>
    <w:rsid w:val="00DA051B"/>
    <w:rsid w:val="00DA109D"/>
    <w:rsid w:val="00DA19A1"/>
    <w:rsid w:val="00DA2FA1"/>
    <w:rsid w:val="00DA3175"/>
    <w:rsid w:val="00DA3C05"/>
    <w:rsid w:val="00DA3CD0"/>
    <w:rsid w:val="00DA4624"/>
    <w:rsid w:val="00DA5347"/>
    <w:rsid w:val="00DA599A"/>
    <w:rsid w:val="00DA5D48"/>
    <w:rsid w:val="00DA5F0E"/>
    <w:rsid w:val="00DA5F81"/>
    <w:rsid w:val="00DA6529"/>
    <w:rsid w:val="00DA669F"/>
    <w:rsid w:val="00DA69BA"/>
    <w:rsid w:val="00DA6F6C"/>
    <w:rsid w:val="00DA6F8A"/>
    <w:rsid w:val="00DA711A"/>
    <w:rsid w:val="00DB06DE"/>
    <w:rsid w:val="00DB072C"/>
    <w:rsid w:val="00DB11AA"/>
    <w:rsid w:val="00DB14D9"/>
    <w:rsid w:val="00DB15A2"/>
    <w:rsid w:val="00DB176F"/>
    <w:rsid w:val="00DB1AEC"/>
    <w:rsid w:val="00DB20BE"/>
    <w:rsid w:val="00DB22CD"/>
    <w:rsid w:val="00DB3288"/>
    <w:rsid w:val="00DB423F"/>
    <w:rsid w:val="00DB44A2"/>
    <w:rsid w:val="00DB50FB"/>
    <w:rsid w:val="00DB5108"/>
    <w:rsid w:val="00DB5D81"/>
    <w:rsid w:val="00DB6898"/>
    <w:rsid w:val="00DB7680"/>
    <w:rsid w:val="00DB7683"/>
    <w:rsid w:val="00DB791F"/>
    <w:rsid w:val="00DC1171"/>
    <w:rsid w:val="00DC122B"/>
    <w:rsid w:val="00DC130C"/>
    <w:rsid w:val="00DC1896"/>
    <w:rsid w:val="00DC19D1"/>
    <w:rsid w:val="00DC1D4C"/>
    <w:rsid w:val="00DC2E90"/>
    <w:rsid w:val="00DC375F"/>
    <w:rsid w:val="00DC3E7E"/>
    <w:rsid w:val="00DC3F52"/>
    <w:rsid w:val="00DC457B"/>
    <w:rsid w:val="00DC45C5"/>
    <w:rsid w:val="00DC4A9D"/>
    <w:rsid w:val="00DC4BF7"/>
    <w:rsid w:val="00DC4EE4"/>
    <w:rsid w:val="00DC50DB"/>
    <w:rsid w:val="00DC598C"/>
    <w:rsid w:val="00DC59DA"/>
    <w:rsid w:val="00DC5C09"/>
    <w:rsid w:val="00DC5DB3"/>
    <w:rsid w:val="00DC5E68"/>
    <w:rsid w:val="00DC66F7"/>
    <w:rsid w:val="00DC6ABA"/>
    <w:rsid w:val="00DC6CFA"/>
    <w:rsid w:val="00DC6E8E"/>
    <w:rsid w:val="00DD0014"/>
    <w:rsid w:val="00DD0376"/>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CA5"/>
    <w:rsid w:val="00DD7E33"/>
    <w:rsid w:val="00DD7FE8"/>
    <w:rsid w:val="00DE0B75"/>
    <w:rsid w:val="00DE135B"/>
    <w:rsid w:val="00DE14F5"/>
    <w:rsid w:val="00DE1E6B"/>
    <w:rsid w:val="00DE249D"/>
    <w:rsid w:val="00DE260E"/>
    <w:rsid w:val="00DE27C3"/>
    <w:rsid w:val="00DE2BA8"/>
    <w:rsid w:val="00DE2E20"/>
    <w:rsid w:val="00DE3135"/>
    <w:rsid w:val="00DE31AD"/>
    <w:rsid w:val="00DE4076"/>
    <w:rsid w:val="00DE45CD"/>
    <w:rsid w:val="00DE53F1"/>
    <w:rsid w:val="00DE5A7D"/>
    <w:rsid w:val="00DE5E79"/>
    <w:rsid w:val="00DE62E6"/>
    <w:rsid w:val="00DE63E1"/>
    <w:rsid w:val="00DE714A"/>
    <w:rsid w:val="00DE7354"/>
    <w:rsid w:val="00DE7E05"/>
    <w:rsid w:val="00DF07B9"/>
    <w:rsid w:val="00DF0801"/>
    <w:rsid w:val="00DF1427"/>
    <w:rsid w:val="00DF149B"/>
    <w:rsid w:val="00DF190C"/>
    <w:rsid w:val="00DF1A83"/>
    <w:rsid w:val="00DF1DB6"/>
    <w:rsid w:val="00DF23C3"/>
    <w:rsid w:val="00DF27CE"/>
    <w:rsid w:val="00DF2CB8"/>
    <w:rsid w:val="00DF2DC2"/>
    <w:rsid w:val="00DF2EEA"/>
    <w:rsid w:val="00DF3A66"/>
    <w:rsid w:val="00DF3CD7"/>
    <w:rsid w:val="00DF3E01"/>
    <w:rsid w:val="00DF3E32"/>
    <w:rsid w:val="00DF412F"/>
    <w:rsid w:val="00DF4B34"/>
    <w:rsid w:val="00DF4B77"/>
    <w:rsid w:val="00DF73AC"/>
    <w:rsid w:val="00DF7613"/>
    <w:rsid w:val="00DF7C11"/>
    <w:rsid w:val="00DF7D0D"/>
    <w:rsid w:val="00E001C8"/>
    <w:rsid w:val="00E007C7"/>
    <w:rsid w:val="00E00965"/>
    <w:rsid w:val="00E009AC"/>
    <w:rsid w:val="00E00AC9"/>
    <w:rsid w:val="00E00B63"/>
    <w:rsid w:val="00E01540"/>
    <w:rsid w:val="00E015A8"/>
    <w:rsid w:val="00E01C4E"/>
    <w:rsid w:val="00E01F24"/>
    <w:rsid w:val="00E02769"/>
    <w:rsid w:val="00E03B86"/>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3FC"/>
    <w:rsid w:val="00E2367B"/>
    <w:rsid w:val="00E237D1"/>
    <w:rsid w:val="00E2410B"/>
    <w:rsid w:val="00E244B4"/>
    <w:rsid w:val="00E24968"/>
    <w:rsid w:val="00E2520C"/>
    <w:rsid w:val="00E25A10"/>
    <w:rsid w:val="00E25D40"/>
    <w:rsid w:val="00E26F0E"/>
    <w:rsid w:val="00E27117"/>
    <w:rsid w:val="00E27221"/>
    <w:rsid w:val="00E277CB"/>
    <w:rsid w:val="00E2793E"/>
    <w:rsid w:val="00E27C85"/>
    <w:rsid w:val="00E27D36"/>
    <w:rsid w:val="00E27F58"/>
    <w:rsid w:val="00E300A0"/>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46C"/>
    <w:rsid w:val="00E4356D"/>
    <w:rsid w:val="00E4454D"/>
    <w:rsid w:val="00E458E8"/>
    <w:rsid w:val="00E45966"/>
    <w:rsid w:val="00E45DD4"/>
    <w:rsid w:val="00E461EA"/>
    <w:rsid w:val="00E46774"/>
    <w:rsid w:val="00E4699C"/>
    <w:rsid w:val="00E46A63"/>
    <w:rsid w:val="00E476D7"/>
    <w:rsid w:val="00E47DA7"/>
    <w:rsid w:val="00E50821"/>
    <w:rsid w:val="00E50B85"/>
    <w:rsid w:val="00E5104D"/>
    <w:rsid w:val="00E51928"/>
    <w:rsid w:val="00E529BB"/>
    <w:rsid w:val="00E53040"/>
    <w:rsid w:val="00E5332E"/>
    <w:rsid w:val="00E5347A"/>
    <w:rsid w:val="00E53541"/>
    <w:rsid w:val="00E53C61"/>
    <w:rsid w:val="00E53E59"/>
    <w:rsid w:val="00E53E98"/>
    <w:rsid w:val="00E541F4"/>
    <w:rsid w:val="00E546D9"/>
    <w:rsid w:val="00E5497D"/>
    <w:rsid w:val="00E54ADA"/>
    <w:rsid w:val="00E54FEB"/>
    <w:rsid w:val="00E550A8"/>
    <w:rsid w:val="00E5539E"/>
    <w:rsid w:val="00E556A6"/>
    <w:rsid w:val="00E55777"/>
    <w:rsid w:val="00E55C97"/>
    <w:rsid w:val="00E55EB0"/>
    <w:rsid w:val="00E55EDF"/>
    <w:rsid w:val="00E55EFF"/>
    <w:rsid w:val="00E566C3"/>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3AE"/>
    <w:rsid w:val="00E71E31"/>
    <w:rsid w:val="00E725B1"/>
    <w:rsid w:val="00E725F2"/>
    <w:rsid w:val="00E7276B"/>
    <w:rsid w:val="00E72D27"/>
    <w:rsid w:val="00E73012"/>
    <w:rsid w:val="00E73740"/>
    <w:rsid w:val="00E73DD6"/>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2704"/>
    <w:rsid w:val="00E82902"/>
    <w:rsid w:val="00E82D75"/>
    <w:rsid w:val="00E82E59"/>
    <w:rsid w:val="00E835B5"/>
    <w:rsid w:val="00E836A5"/>
    <w:rsid w:val="00E83BA6"/>
    <w:rsid w:val="00E84296"/>
    <w:rsid w:val="00E84419"/>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4AF"/>
    <w:rsid w:val="00E9662D"/>
    <w:rsid w:val="00E9704E"/>
    <w:rsid w:val="00E979D2"/>
    <w:rsid w:val="00EA0256"/>
    <w:rsid w:val="00EA05E4"/>
    <w:rsid w:val="00EA069B"/>
    <w:rsid w:val="00EA0741"/>
    <w:rsid w:val="00EA075A"/>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A98"/>
    <w:rsid w:val="00EA7E74"/>
    <w:rsid w:val="00EB0790"/>
    <w:rsid w:val="00EB0F73"/>
    <w:rsid w:val="00EB1E77"/>
    <w:rsid w:val="00EB231D"/>
    <w:rsid w:val="00EB24CA"/>
    <w:rsid w:val="00EB25B1"/>
    <w:rsid w:val="00EB2B9B"/>
    <w:rsid w:val="00EB30C3"/>
    <w:rsid w:val="00EB3120"/>
    <w:rsid w:val="00EB3330"/>
    <w:rsid w:val="00EB35FA"/>
    <w:rsid w:val="00EB3D50"/>
    <w:rsid w:val="00EB45BB"/>
    <w:rsid w:val="00EB4FEF"/>
    <w:rsid w:val="00EB5657"/>
    <w:rsid w:val="00EB6F2F"/>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66DA"/>
    <w:rsid w:val="00EC70E1"/>
    <w:rsid w:val="00EC7B50"/>
    <w:rsid w:val="00ED00DE"/>
    <w:rsid w:val="00ED048F"/>
    <w:rsid w:val="00ED082E"/>
    <w:rsid w:val="00ED0A8D"/>
    <w:rsid w:val="00ED0D79"/>
    <w:rsid w:val="00ED1964"/>
    <w:rsid w:val="00ED2409"/>
    <w:rsid w:val="00ED2688"/>
    <w:rsid w:val="00ED3BBE"/>
    <w:rsid w:val="00ED44B2"/>
    <w:rsid w:val="00ED5181"/>
    <w:rsid w:val="00ED5334"/>
    <w:rsid w:val="00ED53BD"/>
    <w:rsid w:val="00ED5C6B"/>
    <w:rsid w:val="00ED5EAB"/>
    <w:rsid w:val="00ED6C40"/>
    <w:rsid w:val="00ED73D0"/>
    <w:rsid w:val="00ED73E6"/>
    <w:rsid w:val="00EE006E"/>
    <w:rsid w:val="00EE0671"/>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4E39"/>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07"/>
    <w:rsid w:val="00F03D13"/>
    <w:rsid w:val="00F040F9"/>
    <w:rsid w:val="00F04156"/>
    <w:rsid w:val="00F04B9B"/>
    <w:rsid w:val="00F05193"/>
    <w:rsid w:val="00F0589B"/>
    <w:rsid w:val="00F05E89"/>
    <w:rsid w:val="00F05EB2"/>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2C98"/>
    <w:rsid w:val="00F13367"/>
    <w:rsid w:val="00F133E1"/>
    <w:rsid w:val="00F13BAD"/>
    <w:rsid w:val="00F13F7A"/>
    <w:rsid w:val="00F1444B"/>
    <w:rsid w:val="00F151CD"/>
    <w:rsid w:val="00F1550C"/>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862"/>
    <w:rsid w:val="00F27C7B"/>
    <w:rsid w:val="00F27DED"/>
    <w:rsid w:val="00F27E1C"/>
    <w:rsid w:val="00F30080"/>
    <w:rsid w:val="00F30306"/>
    <w:rsid w:val="00F303C2"/>
    <w:rsid w:val="00F305C5"/>
    <w:rsid w:val="00F30825"/>
    <w:rsid w:val="00F30B86"/>
    <w:rsid w:val="00F3162C"/>
    <w:rsid w:val="00F31BC2"/>
    <w:rsid w:val="00F31DF7"/>
    <w:rsid w:val="00F32027"/>
    <w:rsid w:val="00F32A82"/>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405FE"/>
    <w:rsid w:val="00F4106F"/>
    <w:rsid w:val="00F417EA"/>
    <w:rsid w:val="00F41E00"/>
    <w:rsid w:val="00F42037"/>
    <w:rsid w:val="00F42985"/>
    <w:rsid w:val="00F43884"/>
    <w:rsid w:val="00F439E1"/>
    <w:rsid w:val="00F439FA"/>
    <w:rsid w:val="00F43AFA"/>
    <w:rsid w:val="00F43E02"/>
    <w:rsid w:val="00F4454F"/>
    <w:rsid w:val="00F44B2E"/>
    <w:rsid w:val="00F45E58"/>
    <w:rsid w:val="00F45F44"/>
    <w:rsid w:val="00F46173"/>
    <w:rsid w:val="00F462E4"/>
    <w:rsid w:val="00F4631D"/>
    <w:rsid w:val="00F46C01"/>
    <w:rsid w:val="00F4738C"/>
    <w:rsid w:val="00F47440"/>
    <w:rsid w:val="00F4781B"/>
    <w:rsid w:val="00F47ABE"/>
    <w:rsid w:val="00F47B4F"/>
    <w:rsid w:val="00F47C6C"/>
    <w:rsid w:val="00F47D9D"/>
    <w:rsid w:val="00F503B0"/>
    <w:rsid w:val="00F50DEB"/>
    <w:rsid w:val="00F50EF1"/>
    <w:rsid w:val="00F51378"/>
    <w:rsid w:val="00F513F0"/>
    <w:rsid w:val="00F5290A"/>
    <w:rsid w:val="00F52C01"/>
    <w:rsid w:val="00F53389"/>
    <w:rsid w:val="00F5375B"/>
    <w:rsid w:val="00F53EEA"/>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C95"/>
    <w:rsid w:val="00F60E75"/>
    <w:rsid w:val="00F61161"/>
    <w:rsid w:val="00F6182E"/>
    <w:rsid w:val="00F61EF0"/>
    <w:rsid w:val="00F626D6"/>
    <w:rsid w:val="00F628A6"/>
    <w:rsid w:val="00F62EA8"/>
    <w:rsid w:val="00F62F09"/>
    <w:rsid w:val="00F632FA"/>
    <w:rsid w:val="00F63B0A"/>
    <w:rsid w:val="00F63DC4"/>
    <w:rsid w:val="00F63E12"/>
    <w:rsid w:val="00F64636"/>
    <w:rsid w:val="00F6537B"/>
    <w:rsid w:val="00F6577E"/>
    <w:rsid w:val="00F65A61"/>
    <w:rsid w:val="00F65ADC"/>
    <w:rsid w:val="00F65E3F"/>
    <w:rsid w:val="00F66D2F"/>
    <w:rsid w:val="00F66F60"/>
    <w:rsid w:val="00F6738C"/>
    <w:rsid w:val="00F67975"/>
    <w:rsid w:val="00F70310"/>
    <w:rsid w:val="00F706C4"/>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6AA"/>
    <w:rsid w:val="00F74937"/>
    <w:rsid w:val="00F7496A"/>
    <w:rsid w:val="00F74BC9"/>
    <w:rsid w:val="00F75022"/>
    <w:rsid w:val="00F7509B"/>
    <w:rsid w:val="00F757E0"/>
    <w:rsid w:val="00F7588D"/>
    <w:rsid w:val="00F75A8B"/>
    <w:rsid w:val="00F75B6C"/>
    <w:rsid w:val="00F760CD"/>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494E"/>
    <w:rsid w:val="00F8521A"/>
    <w:rsid w:val="00F8599E"/>
    <w:rsid w:val="00F85DC0"/>
    <w:rsid w:val="00F86188"/>
    <w:rsid w:val="00F863A4"/>
    <w:rsid w:val="00F864CF"/>
    <w:rsid w:val="00F866FB"/>
    <w:rsid w:val="00F86E9C"/>
    <w:rsid w:val="00F901D6"/>
    <w:rsid w:val="00F90233"/>
    <w:rsid w:val="00F902CB"/>
    <w:rsid w:val="00F90972"/>
    <w:rsid w:val="00F90D2E"/>
    <w:rsid w:val="00F90F21"/>
    <w:rsid w:val="00F92066"/>
    <w:rsid w:val="00F92588"/>
    <w:rsid w:val="00F92923"/>
    <w:rsid w:val="00F92B60"/>
    <w:rsid w:val="00F9306F"/>
    <w:rsid w:val="00F93930"/>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4455"/>
    <w:rsid w:val="00FA482A"/>
    <w:rsid w:val="00FA56AE"/>
    <w:rsid w:val="00FA5825"/>
    <w:rsid w:val="00FA66EA"/>
    <w:rsid w:val="00FA6CFE"/>
    <w:rsid w:val="00FA7C6D"/>
    <w:rsid w:val="00FB03EA"/>
    <w:rsid w:val="00FB05B8"/>
    <w:rsid w:val="00FB0BF4"/>
    <w:rsid w:val="00FB104F"/>
    <w:rsid w:val="00FB18CE"/>
    <w:rsid w:val="00FB1962"/>
    <w:rsid w:val="00FB3DD9"/>
    <w:rsid w:val="00FB4141"/>
    <w:rsid w:val="00FB452F"/>
    <w:rsid w:val="00FB4D33"/>
    <w:rsid w:val="00FB4F84"/>
    <w:rsid w:val="00FB501C"/>
    <w:rsid w:val="00FB52F3"/>
    <w:rsid w:val="00FB56F0"/>
    <w:rsid w:val="00FB5898"/>
    <w:rsid w:val="00FB6546"/>
    <w:rsid w:val="00FB6811"/>
    <w:rsid w:val="00FB6AB1"/>
    <w:rsid w:val="00FB6B74"/>
    <w:rsid w:val="00FB6CCD"/>
    <w:rsid w:val="00FB700B"/>
    <w:rsid w:val="00FB74C9"/>
    <w:rsid w:val="00FB7598"/>
    <w:rsid w:val="00FB77F6"/>
    <w:rsid w:val="00FB79BA"/>
    <w:rsid w:val="00FB7C17"/>
    <w:rsid w:val="00FC0D33"/>
    <w:rsid w:val="00FC1633"/>
    <w:rsid w:val="00FC1C02"/>
    <w:rsid w:val="00FC1D4F"/>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6964"/>
    <w:rsid w:val="00FD73B9"/>
    <w:rsid w:val="00FD73F6"/>
    <w:rsid w:val="00FD7DAF"/>
    <w:rsid w:val="00FD7E29"/>
    <w:rsid w:val="00FE085B"/>
    <w:rsid w:val="00FE08BD"/>
    <w:rsid w:val="00FE11A8"/>
    <w:rsid w:val="00FE1846"/>
    <w:rsid w:val="00FE1F6A"/>
    <w:rsid w:val="00FE27BB"/>
    <w:rsid w:val="00FE2D23"/>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标题 1,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heading 2"/>
    <w:basedOn w:val="Heading1"/>
    <w:next w:val="Normal"/>
    <w:link w:val="Heading2Char"/>
    <w:qFormat/>
    <w:rsid w:val="002958FD"/>
    <w:p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列表段落,¥¡¡¡¡ì¬º¥¹¥È¶ÎÂä,ÁÐ³ö¶ÎÂä,¥ê¥¹¥È¶ÎÂä,1st level - Bullet List Paragraph,Lettre d'introduction,Paragrafo elenco,Normal bullet 2,Bullet list,목록단락,列表段落11,列出段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网格型"/>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题注,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Corps de texte Car Char,Corps de texte Car1 Car Char,Corps de texte Car Car Car Char,Corps de texte Car1 Car Car Car Char,Corps de texte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列表段落 Char,¥¡¡¡¡ì¬º¥¹¥È¶ÎÂä Char,ÁÐ³ö¶ÎÂä Char,¥ê¥¹¥È¶ÎÂä Char,1st level - Bullet List Paragraph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9"/>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10"/>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1"/>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2"/>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7"/>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0"/>
    <w:rsid w:val="005A14B4"/>
    <w:rPr>
      <w:rFonts w:ascii="Arial" w:hAnsi="Arial"/>
    </w:rPr>
  </w:style>
  <w:style w:type="paragraph" w:customStyle="1" w:styleId="50">
    <w:name w:val="标题 5"/>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
    <w:name w:val="标题 8"/>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
    <w:name w:val="标题 9"/>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5A14B4"/>
    <w:pPr>
      <w:tabs>
        <w:tab w:val="num" w:pos="1152"/>
      </w:tabs>
      <w:spacing w:after="0"/>
    </w:pPr>
    <w:rPr>
      <w:rFonts w:ascii="Times" w:eastAsia="MS PGothic" w:hAnsi="Times" w:cs="Times"/>
      <w:lang w:val="en-US" w:eastAsia="ja-JP"/>
    </w:rPr>
  </w:style>
  <w:style w:type="paragraph" w:customStyle="1" w:styleId="7">
    <w:name w:val="标题 7"/>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4"/>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4"/>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4"/>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3"/>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5"/>
      </w:numPr>
    </w:pPr>
  </w:style>
  <w:style w:type="numbering" w:customStyle="1" w:styleId="StyleBulletedSymbolsymbolLeft025Hanging0251">
    <w:name w:val="Style Bulleted Symbol (symbol) Left:  0.25&quot; Hanging:  0.25&quot;1"/>
    <w:basedOn w:val="NoList"/>
    <w:rsid w:val="005A14B4"/>
    <w:pPr>
      <w:numPr>
        <w:numId w:val="16"/>
      </w:numPr>
    </w:pPr>
  </w:style>
  <w:style w:type="numbering" w:customStyle="1" w:styleId="StyleBulletedSymbolsymbolLeft025Hanging0252">
    <w:name w:val="Style Bulleted Symbol (symbol) Left:  0.25&quot; Hanging:  0.25&quot;2"/>
    <w:basedOn w:val="NoList"/>
    <w:rsid w:val="005A14B4"/>
    <w:pPr>
      <w:numPr>
        <w:numId w:val="18"/>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9"/>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20"/>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1"/>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3"/>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5"/>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6"/>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7"/>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7"/>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7"/>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qFormat/>
    <w:rsid w:val="00CB7A97"/>
    <w:pPr>
      <w:numPr>
        <w:numId w:val="28"/>
      </w:numPr>
      <w:ind w:left="800" w:firstLine="0"/>
    </w:pPr>
  </w:style>
  <w:style w:type="character" w:customStyle="1" w:styleId="bulletChar">
    <w:name w:val="bullet Char"/>
    <w:link w:val="bullet"/>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9"/>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30"/>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1"/>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2"/>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1"/>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3"/>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4"/>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6"/>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5"/>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7"/>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8"/>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character" w:customStyle="1" w:styleId="CRCoverPageZchn">
    <w:name w:val="CR Cover Page Zchn"/>
    <w:link w:val="CRCoverPage"/>
    <w:qFormat/>
    <w:rsid w:val="00900682"/>
    <w:rPr>
      <w:rFonts w:ascii="Arial" w:eastAsia="Malgun Gothic" w:hAnsi="Arial"/>
      <w:lang w:val="en-GB" w:eastAsia="en-US"/>
    </w:rPr>
  </w:style>
  <w:style w:type="character" w:customStyle="1" w:styleId="ab">
    <w:name w:val="清單段落 字元"/>
    <w:uiPriority w:val="34"/>
    <w:qFormat/>
    <w:rsid w:val="00784C99"/>
    <w:rPr>
      <w:rFonts w:ascii="Times New Roman" w:eastAsia="Times New Roman" w:hAnsi="Times New Roman"/>
      <w:sz w:val="24"/>
      <w:szCs w:val="24"/>
      <w:lang w:eastAsia="zh-CN"/>
    </w:rPr>
  </w:style>
  <w:style w:type="paragraph" w:customStyle="1" w:styleId="Agreement">
    <w:name w:val="Agreement"/>
    <w:basedOn w:val="Normal"/>
    <w:next w:val="Normal"/>
    <w:rsid w:val="001C0939"/>
    <w:pPr>
      <w:numPr>
        <w:numId w:val="43"/>
      </w:numPr>
      <w:spacing w:before="60" w:after="0"/>
    </w:pPr>
    <w:rPr>
      <w:rFonts w:ascii="Arial" w:eastAsia="MS Mincho" w:hAnsi="Arial"/>
      <w:b/>
      <w:szCs w:val="24"/>
      <w:lang w:eastAsia="en-GB"/>
    </w:rPr>
  </w:style>
  <w:style w:type="character" w:customStyle="1" w:styleId="B3Char2">
    <w:name w:val="B3 Char2"/>
    <w:basedOn w:val="DefaultParagraphFont"/>
    <w:locked/>
    <w:rsid w:val="00EA075A"/>
    <w:rPr>
      <w:lang w:eastAsia="zh-CN"/>
    </w:rPr>
  </w:style>
  <w:style w:type="character" w:customStyle="1" w:styleId="B6Char">
    <w:name w:val="B6 Char"/>
    <w:basedOn w:val="DefaultParagraphFont"/>
    <w:link w:val="B6"/>
    <w:locked/>
    <w:rsid w:val="00EA075A"/>
    <w:rPr>
      <w:lang w:eastAsia="zh-CN"/>
    </w:rPr>
  </w:style>
  <w:style w:type="paragraph" w:customStyle="1" w:styleId="B6">
    <w:name w:val="B6"/>
    <w:basedOn w:val="Normal"/>
    <w:link w:val="B6Char"/>
    <w:rsid w:val="00EA075A"/>
    <w:pPr>
      <w:overflowPunct w:val="0"/>
      <w:autoSpaceDE w:val="0"/>
      <w:autoSpaceDN w:val="0"/>
      <w:ind w:left="1985" w:hanging="284"/>
    </w:pPr>
    <w:rPr>
      <w:rFonts w:eastAsia="Batang"/>
      <w:lang w:val="en-US" w:eastAsia="zh-CN"/>
    </w:rPr>
  </w:style>
  <w:style w:type="character" w:customStyle="1" w:styleId="B7Char">
    <w:name w:val="B7 Char"/>
    <w:basedOn w:val="DefaultParagraphFont"/>
    <w:link w:val="B7"/>
    <w:locked/>
    <w:rsid w:val="00EA075A"/>
    <w:rPr>
      <w:lang w:eastAsia="zh-CN"/>
    </w:rPr>
  </w:style>
  <w:style w:type="paragraph" w:customStyle="1" w:styleId="B7">
    <w:name w:val="B7"/>
    <w:basedOn w:val="Normal"/>
    <w:link w:val="B7Char"/>
    <w:rsid w:val="00EA075A"/>
    <w:pPr>
      <w:overflowPunct w:val="0"/>
      <w:autoSpaceDE w:val="0"/>
      <w:autoSpaceDN w:val="0"/>
      <w:ind w:left="2269" w:hanging="284"/>
    </w:pPr>
    <w:rPr>
      <w:rFonts w:eastAsia="Batang"/>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04712">
      <w:bodyDiv w:val="1"/>
      <w:marLeft w:val="0"/>
      <w:marRight w:val="0"/>
      <w:marTop w:val="0"/>
      <w:marBottom w:val="0"/>
      <w:divBdr>
        <w:top w:val="none" w:sz="0" w:space="0" w:color="auto"/>
        <w:left w:val="none" w:sz="0" w:space="0" w:color="auto"/>
        <w:bottom w:val="none" w:sz="0" w:space="0" w:color="auto"/>
        <w:right w:val="none" w:sz="0" w:space="0" w:color="auto"/>
      </w:divBdr>
      <w:divsChild>
        <w:div w:id="2089114278">
          <w:marLeft w:val="821"/>
          <w:marRight w:val="0"/>
          <w:marTop w:val="80"/>
          <w:marBottom w:val="0"/>
          <w:divBdr>
            <w:top w:val="none" w:sz="0" w:space="0" w:color="auto"/>
            <w:left w:val="none" w:sz="0" w:space="0" w:color="auto"/>
            <w:bottom w:val="none" w:sz="0" w:space="0" w:color="auto"/>
            <w:right w:val="none" w:sz="0" w:space="0" w:color="auto"/>
          </w:divBdr>
        </w:div>
        <w:div w:id="2146313827">
          <w:marLeft w:val="1080"/>
          <w:marRight w:val="0"/>
          <w:marTop w:val="80"/>
          <w:marBottom w:val="0"/>
          <w:divBdr>
            <w:top w:val="none" w:sz="0" w:space="0" w:color="auto"/>
            <w:left w:val="none" w:sz="0" w:space="0" w:color="auto"/>
            <w:bottom w:val="none" w:sz="0" w:space="0" w:color="auto"/>
            <w:right w:val="none" w:sz="0" w:space="0" w:color="auto"/>
          </w:divBdr>
        </w:div>
        <w:div w:id="517962267">
          <w:marLeft w:val="1080"/>
          <w:marRight w:val="0"/>
          <w:marTop w:val="80"/>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23742096">
      <w:bodyDiv w:val="1"/>
      <w:marLeft w:val="0"/>
      <w:marRight w:val="0"/>
      <w:marTop w:val="0"/>
      <w:marBottom w:val="0"/>
      <w:divBdr>
        <w:top w:val="none" w:sz="0" w:space="0" w:color="auto"/>
        <w:left w:val="none" w:sz="0" w:space="0" w:color="auto"/>
        <w:bottom w:val="none" w:sz="0" w:space="0" w:color="auto"/>
        <w:right w:val="none" w:sz="0" w:space="0" w:color="auto"/>
      </w:divBdr>
      <w:divsChild>
        <w:div w:id="1014767385">
          <w:marLeft w:val="821"/>
          <w:marRight w:val="0"/>
          <w:marTop w:val="80"/>
          <w:marBottom w:val="0"/>
          <w:divBdr>
            <w:top w:val="none" w:sz="0" w:space="0" w:color="auto"/>
            <w:left w:val="none" w:sz="0" w:space="0" w:color="auto"/>
            <w:bottom w:val="none" w:sz="0" w:space="0" w:color="auto"/>
            <w:right w:val="none" w:sz="0" w:space="0" w:color="auto"/>
          </w:divBdr>
        </w:div>
      </w:divsChild>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58886289">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167985">
      <w:bodyDiv w:val="1"/>
      <w:marLeft w:val="0"/>
      <w:marRight w:val="0"/>
      <w:marTop w:val="0"/>
      <w:marBottom w:val="0"/>
      <w:divBdr>
        <w:top w:val="none" w:sz="0" w:space="0" w:color="auto"/>
        <w:left w:val="none" w:sz="0" w:space="0" w:color="auto"/>
        <w:bottom w:val="none" w:sz="0" w:space="0" w:color="auto"/>
        <w:right w:val="none" w:sz="0" w:space="0" w:color="auto"/>
      </w:divBdr>
      <w:divsChild>
        <w:div w:id="156309903">
          <w:marLeft w:val="2246"/>
          <w:marRight w:val="0"/>
          <w:marTop w:val="100"/>
          <w:marBottom w:val="0"/>
          <w:divBdr>
            <w:top w:val="none" w:sz="0" w:space="0" w:color="auto"/>
            <w:left w:val="none" w:sz="0" w:space="0" w:color="auto"/>
            <w:bottom w:val="none" w:sz="0" w:space="0" w:color="auto"/>
            <w:right w:val="none" w:sz="0" w:space="0" w:color="auto"/>
          </w:divBdr>
        </w:div>
        <w:div w:id="1712264020">
          <w:marLeft w:val="2246"/>
          <w:marRight w:val="0"/>
          <w:marTop w:val="100"/>
          <w:marBottom w:val="0"/>
          <w:divBdr>
            <w:top w:val="none" w:sz="0" w:space="0" w:color="auto"/>
            <w:left w:val="none" w:sz="0" w:space="0" w:color="auto"/>
            <w:bottom w:val="none" w:sz="0" w:space="0" w:color="auto"/>
            <w:right w:val="none" w:sz="0" w:space="0" w:color="auto"/>
          </w:divBdr>
        </w:div>
      </w:divsChild>
    </w:div>
    <w:div w:id="398748235">
      <w:bodyDiv w:val="1"/>
      <w:marLeft w:val="0"/>
      <w:marRight w:val="0"/>
      <w:marTop w:val="0"/>
      <w:marBottom w:val="0"/>
      <w:divBdr>
        <w:top w:val="none" w:sz="0" w:space="0" w:color="auto"/>
        <w:left w:val="none" w:sz="0" w:space="0" w:color="auto"/>
        <w:bottom w:val="none" w:sz="0" w:space="0" w:color="auto"/>
        <w:right w:val="none" w:sz="0" w:space="0" w:color="auto"/>
      </w:divBdr>
      <w:divsChild>
        <w:div w:id="259027072">
          <w:marLeft w:val="821"/>
          <w:marRight w:val="0"/>
          <w:marTop w:val="80"/>
          <w:marBottom w:val="0"/>
          <w:divBdr>
            <w:top w:val="none" w:sz="0" w:space="0" w:color="auto"/>
            <w:left w:val="none" w:sz="0" w:space="0" w:color="auto"/>
            <w:bottom w:val="none" w:sz="0" w:space="0" w:color="auto"/>
            <w:right w:val="none" w:sz="0" w:space="0" w:color="auto"/>
          </w:divBdr>
        </w:div>
        <w:div w:id="1430008052">
          <w:marLeft w:val="821"/>
          <w:marRight w:val="0"/>
          <w:marTop w:val="8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80649310">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0877926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24967099">
      <w:bodyDiv w:val="1"/>
      <w:marLeft w:val="0"/>
      <w:marRight w:val="0"/>
      <w:marTop w:val="0"/>
      <w:marBottom w:val="0"/>
      <w:divBdr>
        <w:top w:val="none" w:sz="0" w:space="0" w:color="auto"/>
        <w:left w:val="none" w:sz="0" w:space="0" w:color="auto"/>
        <w:bottom w:val="none" w:sz="0" w:space="0" w:color="auto"/>
        <w:right w:val="none" w:sz="0" w:space="0" w:color="auto"/>
      </w:divBdr>
    </w:div>
    <w:div w:id="632566227">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8742725">
      <w:bodyDiv w:val="1"/>
      <w:marLeft w:val="0"/>
      <w:marRight w:val="0"/>
      <w:marTop w:val="0"/>
      <w:marBottom w:val="0"/>
      <w:divBdr>
        <w:top w:val="none" w:sz="0" w:space="0" w:color="auto"/>
        <w:left w:val="none" w:sz="0" w:space="0" w:color="auto"/>
        <w:bottom w:val="none" w:sz="0" w:space="0" w:color="auto"/>
        <w:right w:val="none" w:sz="0" w:space="0" w:color="auto"/>
      </w:divBdr>
      <w:divsChild>
        <w:div w:id="545726211">
          <w:marLeft w:val="446"/>
          <w:marRight w:val="0"/>
          <w:marTop w:val="20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9202779">
      <w:bodyDiv w:val="1"/>
      <w:marLeft w:val="0"/>
      <w:marRight w:val="0"/>
      <w:marTop w:val="0"/>
      <w:marBottom w:val="0"/>
      <w:divBdr>
        <w:top w:val="none" w:sz="0" w:space="0" w:color="auto"/>
        <w:left w:val="none" w:sz="0" w:space="0" w:color="auto"/>
        <w:bottom w:val="none" w:sz="0" w:space="0" w:color="auto"/>
        <w:right w:val="none" w:sz="0" w:space="0" w:color="auto"/>
      </w:divBdr>
      <w:divsChild>
        <w:div w:id="870412211">
          <w:marLeft w:val="446"/>
          <w:marRight w:val="0"/>
          <w:marTop w:val="200"/>
          <w:marBottom w:val="0"/>
          <w:divBdr>
            <w:top w:val="none" w:sz="0" w:space="0" w:color="auto"/>
            <w:left w:val="none" w:sz="0" w:space="0" w:color="auto"/>
            <w:bottom w:val="none" w:sz="0" w:space="0" w:color="auto"/>
            <w:right w:val="none" w:sz="0" w:space="0" w:color="auto"/>
          </w:divBdr>
        </w:div>
      </w:divsChild>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475979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15066974">
      <w:bodyDiv w:val="1"/>
      <w:marLeft w:val="0"/>
      <w:marRight w:val="0"/>
      <w:marTop w:val="0"/>
      <w:marBottom w:val="0"/>
      <w:divBdr>
        <w:top w:val="none" w:sz="0" w:space="0" w:color="auto"/>
        <w:left w:val="none" w:sz="0" w:space="0" w:color="auto"/>
        <w:bottom w:val="none" w:sz="0" w:space="0" w:color="auto"/>
        <w:right w:val="none" w:sz="0" w:space="0" w:color="auto"/>
      </w:divBdr>
      <w:divsChild>
        <w:div w:id="1784568432">
          <w:marLeft w:val="821"/>
          <w:marRight w:val="0"/>
          <w:marTop w:val="80"/>
          <w:marBottom w:val="0"/>
          <w:divBdr>
            <w:top w:val="none" w:sz="0" w:space="0" w:color="auto"/>
            <w:left w:val="none" w:sz="0" w:space="0" w:color="auto"/>
            <w:bottom w:val="none" w:sz="0" w:space="0" w:color="auto"/>
            <w:right w:val="none" w:sz="0" w:space="0" w:color="auto"/>
          </w:divBdr>
        </w:div>
        <w:div w:id="243074276">
          <w:marLeft w:val="1080"/>
          <w:marRight w:val="0"/>
          <w:marTop w:val="80"/>
          <w:marBottom w:val="0"/>
          <w:divBdr>
            <w:top w:val="none" w:sz="0" w:space="0" w:color="auto"/>
            <w:left w:val="none" w:sz="0" w:space="0" w:color="auto"/>
            <w:bottom w:val="none" w:sz="0" w:space="0" w:color="auto"/>
            <w:right w:val="none" w:sz="0" w:space="0" w:color="auto"/>
          </w:divBdr>
        </w:div>
        <w:div w:id="1807580528">
          <w:marLeft w:val="1080"/>
          <w:marRight w:val="0"/>
          <w:marTop w:val="80"/>
          <w:marBottom w:val="0"/>
          <w:divBdr>
            <w:top w:val="none" w:sz="0" w:space="0" w:color="auto"/>
            <w:left w:val="none" w:sz="0" w:space="0" w:color="auto"/>
            <w:bottom w:val="none" w:sz="0" w:space="0" w:color="auto"/>
            <w:right w:val="none" w:sz="0" w:space="0" w:color="auto"/>
          </w:divBdr>
        </w:div>
      </w:divsChild>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18832082">
      <w:bodyDiv w:val="1"/>
      <w:marLeft w:val="0"/>
      <w:marRight w:val="0"/>
      <w:marTop w:val="0"/>
      <w:marBottom w:val="0"/>
      <w:divBdr>
        <w:top w:val="none" w:sz="0" w:space="0" w:color="auto"/>
        <w:left w:val="none" w:sz="0" w:space="0" w:color="auto"/>
        <w:bottom w:val="none" w:sz="0" w:space="0" w:color="auto"/>
        <w:right w:val="none" w:sz="0" w:space="0" w:color="auto"/>
      </w:divBdr>
    </w:div>
    <w:div w:id="1634942611">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30034283">
      <w:bodyDiv w:val="1"/>
      <w:marLeft w:val="0"/>
      <w:marRight w:val="0"/>
      <w:marTop w:val="0"/>
      <w:marBottom w:val="0"/>
      <w:divBdr>
        <w:top w:val="none" w:sz="0" w:space="0" w:color="auto"/>
        <w:left w:val="none" w:sz="0" w:space="0" w:color="auto"/>
        <w:bottom w:val="none" w:sz="0" w:space="0" w:color="auto"/>
        <w:right w:val="none" w:sz="0" w:space="0" w:color="auto"/>
      </w:divBdr>
    </w:div>
    <w:div w:id="174852751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6962759">
      <w:bodyDiv w:val="1"/>
      <w:marLeft w:val="0"/>
      <w:marRight w:val="0"/>
      <w:marTop w:val="0"/>
      <w:marBottom w:val="0"/>
      <w:divBdr>
        <w:top w:val="none" w:sz="0" w:space="0" w:color="auto"/>
        <w:left w:val="none" w:sz="0" w:space="0" w:color="auto"/>
        <w:bottom w:val="none" w:sz="0" w:space="0" w:color="auto"/>
        <w:right w:val="none" w:sz="0" w:space="0" w:color="auto"/>
      </w:divBdr>
      <w:divsChild>
        <w:div w:id="506210007">
          <w:marLeft w:val="821"/>
          <w:marRight w:val="0"/>
          <w:marTop w:val="80"/>
          <w:marBottom w:val="0"/>
          <w:divBdr>
            <w:top w:val="none" w:sz="0" w:space="0" w:color="auto"/>
            <w:left w:val="none" w:sz="0" w:space="0" w:color="auto"/>
            <w:bottom w:val="none" w:sz="0" w:space="0" w:color="auto"/>
            <w:right w:val="none" w:sz="0" w:space="0" w:color="auto"/>
          </w:divBdr>
        </w:div>
        <w:div w:id="1291593780">
          <w:marLeft w:val="821"/>
          <w:marRight w:val="0"/>
          <w:marTop w:val="80"/>
          <w:marBottom w:val="0"/>
          <w:divBdr>
            <w:top w:val="none" w:sz="0" w:space="0" w:color="auto"/>
            <w:left w:val="none" w:sz="0" w:space="0" w:color="auto"/>
            <w:bottom w:val="none" w:sz="0" w:space="0" w:color="auto"/>
            <w:right w:val="none" w:sz="0" w:space="0" w:color="auto"/>
          </w:divBdr>
        </w:div>
        <w:div w:id="611787421">
          <w:marLeft w:val="821"/>
          <w:marRight w:val="0"/>
          <w:marTop w:val="80"/>
          <w:marBottom w:val="0"/>
          <w:divBdr>
            <w:top w:val="none" w:sz="0" w:space="0" w:color="auto"/>
            <w:left w:val="none" w:sz="0" w:space="0" w:color="auto"/>
            <w:bottom w:val="none" w:sz="0" w:space="0" w:color="auto"/>
            <w:right w:val="none" w:sz="0" w:space="0" w:color="auto"/>
          </w:divBdr>
        </w:div>
      </w:divsChild>
    </w:div>
    <w:div w:id="1904295877">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7440285">
      <w:bodyDiv w:val="1"/>
      <w:marLeft w:val="0"/>
      <w:marRight w:val="0"/>
      <w:marTop w:val="0"/>
      <w:marBottom w:val="0"/>
      <w:divBdr>
        <w:top w:val="none" w:sz="0" w:space="0" w:color="auto"/>
        <w:left w:val="none" w:sz="0" w:space="0" w:color="auto"/>
        <w:bottom w:val="none" w:sz="0" w:space="0" w:color="auto"/>
        <w:right w:val="none" w:sz="0" w:space="0" w:color="auto"/>
      </w:divBdr>
      <w:divsChild>
        <w:div w:id="1181352306">
          <w:marLeft w:val="1526"/>
          <w:marRight w:val="0"/>
          <w:marTop w:val="100"/>
          <w:marBottom w:val="0"/>
          <w:divBdr>
            <w:top w:val="none" w:sz="0" w:space="0" w:color="auto"/>
            <w:left w:val="none" w:sz="0" w:space="0" w:color="auto"/>
            <w:bottom w:val="none" w:sz="0" w:space="0" w:color="auto"/>
            <w:right w:val="none" w:sz="0" w:space="0" w:color="auto"/>
          </w:divBdr>
        </w:div>
        <w:div w:id="2015496710">
          <w:marLeft w:val="1526"/>
          <w:marRight w:val="0"/>
          <w:marTop w:val="100"/>
          <w:marBottom w:val="0"/>
          <w:divBdr>
            <w:top w:val="none" w:sz="0" w:space="0" w:color="auto"/>
            <w:left w:val="none" w:sz="0" w:space="0" w:color="auto"/>
            <w:bottom w:val="none" w:sz="0" w:space="0" w:color="auto"/>
            <w:right w:val="none" w:sz="0" w:space="0" w:color="auto"/>
          </w:divBdr>
        </w:div>
        <w:div w:id="1791702745">
          <w:marLeft w:val="1526"/>
          <w:marRight w:val="0"/>
          <w:marTop w:val="100"/>
          <w:marBottom w:val="0"/>
          <w:divBdr>
            <w:top w:val="none" w:sz="0" w:space="0" w:color="auto"/>
            <w:left w:val="none" w:sz="0" w:space="0" w:color="auto"/>
            <w:bottom w:val="none" w:sz="0" w:space="0" w:color="auto"/>
            <w:right w:val="none" w:sz="0" w:space="0" w:color="auto"/>
          </w:divBdr>
        </w:div>
        <w:div w:id="816651087">
          <w:marLeft w:val="1526"/>
          <w:marRight w:val="0"/>
          <w:marTop w:val="100"/>
          <w:marBottom w:val="0"/>
          <w:divBdr>
            <w:top w:val="none" w:sz="0" w:space="0" w:color="auto"/>
            <w:left w:val="none" w:sz="0" w:space="0" w:color="auto"/>
            <w:bottom w:val="none" w:sz="0" w:space="0" w:color="auto"/>
            <w:right w:val="none" w:sz="0" w:space="0" w:color="auto"/>
          </w:divBdr>
        </w:div>
        <w:div w:id="1971327674">
          <w:marLeft w:val="2246"/>
          <w:marRight w:val="0"/>
          <w:marTop w:val="100"/>
          <w:marBottom w:val="0"/>
          <w:divBdr>
            <w:top w:val="none" w:sz="0" w:space="0" w:color="auto"/>
            <w:left w:val="none" w:sz="0" w:space="0" w:color="auto"/>
            <w:bottom w:val="none" w:sz="0" w:space="0" w:color="auto"/>
            <w:right w:val="none" w:sz="0" w:space="0" w:color="auto"/>
          </w:divBdr>
        </w:div>
        <w:div w:id="1782727825">
          <w:marLeft w:val="2246"/>
          <w:marRight w:val="0"/>
          <w:marTop w:val="100"/>
          <w:marBottom w:val="0"/>
          <w:divBdr>
            <w:top w:val="none" w:sz="0" w:space="0" w:color="auto"/>
            <w:left w:val="none" w:sz="0" w:space="0" w:color="auto"/>
            <w:bottom w:val="none" w:sz="0" w:space="0" w:color="auto"/>
            <w:right w:val="none" w:sz="0" w:space="0" w:color="auto"/>
          </w:divBdr>
        </w:div>
        <w:div w:id="1526289361">
          <w:marLeft w:val="1526"/>
          <w:marRight w:val="0"/>
          <w:marTop w:val="100"/>
          <w:marBottom w:val="0"/>
          <w:divBdr>
            <w:top w:val="none" w:sz="0" w:space="0" w:color="auto"/>
            <w:left w:val="none" w:sz="0" w:space="0" w:color="auto"/>
            <w:bottom w:val="none" w:sz="0" w:space="0" w:color="auto"/>
            <w:right w:val="none" w:sz="0" w:space="0" w:color="auto"/>
          </w:divBdr>
        </w:div>
        <w:div w:id="5178578">
          <w:marLeft w:val="2246"/>
          <w:marRight w:val="0"/>
          <w:marTop w:val="100"/>
          <w:marBottom w:val="0"/>
          <w:divBdr>
            <w:top w:val="none" w:sz="0" w:space="0" w:color="auto"/>
            <w:left w:val="none" w:sz="0" w:space="0" w:color="auto"/>
            <w:bottom w:val="none" w:sz="0" w:space="0" w:color="auto"/>
            <w:right w:val="none" w:sz="0" w:space="0" w:color="auto"/>
          </w:divBdr>
        </w:div>
        <w:div w:id="449712459">
          <w:marLeft w:val="2246"/>
          <w:marRight w:val="0"/>
          <w:marTop w:val="100"/>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2577997">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A0EAAA-CC74-4E98-B303-1CF80515A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1657</Words>
  <Characters>9445</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2025-03-18T17:43:00Z</dcterms:created>
  <dcterms:modified xsi:type="dcterms:W3CDTF">2025-08-12T14:55:00Z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